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2" w:rsidRDefault="00504BB3">
      <w:pPr>
        <w:pStyle w:val="ab"/>
        <w:ind w:left="3514"/>
        <w:rPr>
          <w:sz w:val="20"/>
        </w:rPr>
      </w:pPr>
      <w:r>
        <w:rPr>
          <w:sz w:val="20"/>
        </w:rPr>
        <w:t>Показатели региональных проектов Тверской области на 2019 год</w:t>
      </w:r>
    </w:p>
    <w:tbl>
      <w:tblPr>
        <w:tblW w:w="10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550"/>
        <w:gridCol w:w="1287"/>
        <w:gridCol w:w="1863"/>
        <w:gridCol w:w="1849"/>
        <w:gridCol w:w="1834"/>
      </w:tblGrid>
      <w:tr w:rsidR="00DB57A2">
        <w:trPr>
          <w:trHeight w:val="691"/>
        </w:trPr>
        <w:tc>
          <w:tcPr>
            <w:tcW w:w="3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в рамках регионального проекта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в региональном проекте (с указание единицы измерения)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декомпозиции показателя в разрезе муниципальных образований Тверской области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76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08"/>
        </w:trPr>
        <w:tc>
          <w:tcPr>
            <w:tcW w:w="3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  1 января 2020года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DB57A2">
        <w:trPr>
          <w:trHeight w:val="158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154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Национальный проект "Демография"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158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Финансовая поддержка семей при рождении детей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302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1. Показатели рождаемости на 2019 год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(число родившихся на 1000 человек населения)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Содействие занятости женщин - создание условий дошкольного образования для детей в возрасте до трех лет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1. Уровень занятости женщин, имеющих детей дошкольного возраста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68,1 (%)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68,1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66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2. Численность женщин, находящихся в отпуске по уходу за ребенком в возрасте до трех 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 xml:space="preserve"> лет, прошедших профессиональное обучение и дополнительное профессиональное образование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(человек)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3. Доступность дошкольного образования для детей в возрасте от полутора до трех лет, не ниже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 (%)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70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Разработка и реализация программы системной поддержки и повышения качества жизни граждан старшего поколения ("Старшее поколение")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1000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tabs>
                <w:tab w:val="left" w:pos="878"/>
                <w:tab w:val="left" w:pos="2098"/>
                <w:tab w:val="left" w:pos="2832"/>
                <w:tab w:val="left" w:pos="3264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1. Численность граждан </w:t>
            </w:r>
            <w:proofErr w:type="spellStart"/>
            <w:r>
              <w:rPr>
                <w:sz w:val="20"/>
              </w:rPr>
              <w:t>пред</w:t>
            </w:r>
            <w:r w:rsidR="0034278A">
              <w:rPr>
                <w:sz w:val="20"/>
              </w:rPr>
              <w:t>пенсионного</w:t>
            </w:r>
            <w:proofErr w:type="spellEnd"/>
            <w:r w:rsidR="0034278A">
              <w:rPr>
                <w:sz w:val="20"/>
              </w:rPr>
              <w:t xml:space="preserve"> возраста, </w:t>
            </w:r>
            <w:proofErr w:type="spellStart"/>
            <w:r w:rsidR="0034278A">
              <w:rPr>
                <w:sz w:val="20"/>
              </w:rPr>
              <w:t>прошедших</w:t>
            </w:r>
            <w:r>
              <w:rPr>
                <w:sz w:val="20"/>
              </w:rPr>
              <w:t>профессиональное</w:t>
            </w:r>
            <w:proofErr w:type="spellEnd"/>
            <w:r>
              <w:rPr>
                <w:sz w:val="20"/>
              </w:rPr>
              <w:t xml:space="preserve"> обучение или получивших дополнительное профессиональное образование</w:t>
            </w:r>
          </w:p>
          <w:p w:rsidR="00DB57A2" w:rsidRDefault="00DB57A2">
            <w:pPr>
              <w:pStyle w:val="ad"/>
              <w:tabs>
                <w:tab w:val="left" w:pos="878"/>
                <w:tab w:val="left" w:pos="2098"/>
                <w:tab w:val="left" w:pos="2832"/>
                <w:tab w:val="left" w:pos="3264"/>
              </w:tabs>
              <w:spacing w:line="276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484 (человек)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(2)10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2. Доля занятых в численности лиц </w:t>
            </w:r>
            <w:proofErr w:type="spellStart"/>
            <w:r>
              <w:rPr>
                <w:sz w:val="20"/>
              </w:rPr>
              <w:t>предпенсионного</w:t>
            </w:r>
            <w:proofErr w:type="spellEnd"/>
            <w:r>
              <w:rPr>
                <w:sz w:val="20"/>
              </w:rPr>
              <w:t xml:space="preserve"> возраста, прошедших обучение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 (%)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71101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66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Формирование системы мотивации граждан к здоровому образу жизни, включая здоровое питание и отказ от вредных привычек ("Укрепление общественного здоровья")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1. Розничные продажи алкогольной продукции на душу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7,8 (в литрах этанола)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2. Формирование Комиссии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Необходимо сформировать</w:t>
            </w:r>
          </w:p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комиссию до 31.05.2019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 31.05.2019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Создана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постановление  администрации  </w:t>
            </w:r>
            <w:proofErr w:type="spellStart"/>
            <w:r>
              <w:rPr>
                <w:sz w:val="20"/>
              </w:rPr>
              <w:t>Сандовского</w:t>
            </w:r>
            <w:proofErr w:type="spellEnd"/>
            <w:r>
              <w:rPr>
                <w:sz w:val="20"/>
              </w:rPr>
              <w:t xml:space="preserve">  района  от  31.05.2019  №124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3. Заседания Комиссии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вопросом</w:t>
            </w:r>
            <w:proofErr w:type="gramEnd"/>
            <w:r>
              <w:rPr>
                <w:sz w:val="20"/>
              </w:rPr>
              <w:t xml:space="preserve"> снижения употребления алкоголя и табака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70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"47 Рейды Комиссий 'совместно с УВД по закрытию; точек </w:t>
            </w:r>
            <w:proofErr w:type="spellStart"/>
            <w:r>
              <w:rPr>
                <w:sz w:val="20"/>
              </w:rPr>
              <w:t>распространения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елегального</w:t>
            </w:r>
            <w:proofErr w:type="spellEnd"/>
            <w:r>
              <w:rPr>
                <w:sz w:val="20"/>
              </w:rPr>
              <w:t xml:space="preserve"> алкоголя на территории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(шт.)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5. Число лекции, по здоровому образу жизни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(шт.)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6. Проведение на территории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z w:val="20"/>
              </w:rPr>
              <w:t xml:space="preserve"> образований спортивно-массовых, физкультурных мероприятий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(шт.)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7. Смертность мужчин в возрасте 16-59 лет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(на 100 тыс. населения)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875,6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380,8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66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8. Смертность мужчин в возрасте 16-59лет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предельно допустимое количество граждан</w:t>
            </w:r>
          </w:p>
          <w:p w:rsidR="00DB57A2" w:rsidRDefault="00504BB3">
            <w:pPr>
              <w:pStyle w:val="ad"/>
              <w:spacing w:line="276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(в </w:t>
            </w:r>
            <w:proofErr w:type="spellStart"/>
            <w:r>
              <w:rPr>
                <w:sz w:val="20"/>
              </w:rPr>
              <w:t>абс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начениях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9. Смертность женщин в возрасте 16-54 лет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(на 100 тыс. населения)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279,6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66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ГО. Смертность женщин в возрасте 16-54 лет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88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предельно допустимое количество граждан</w:t>
            </w:r>
          </w:p>
          <w:p w:rsidR="00DB57A2" w:rsidRDefault="00504BB3">
            <w:pPr>
              <w:pStyle w:val="ad"/>
              <w:spacing w:line="288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(в </w:t>
            </w:r>
            <w:proofErr w:type="spellStart"/>
            <w:r>
              <w:rPr>
                <w:sz w:val="20"/>
              </w:rPr>
              <w:t>абс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начениях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619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 (Спорт - норма жизни)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466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Показатель 1. 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 (%)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619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2. Доля граждан среднего возраста (женщины 30-54 года; мужчины 30-59 лет), систематически занимающихся физической культурой и </w:t>
            </w:r>
            <w:r>
              <w:rPr>
                <w:sz w:val="20"/>
              </w:rPr>
              <w:lastRenderedPageBreak/>
              <w:t>спортом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25,9 (%)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614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3. Доля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7,8 (%)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154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Национальный проект "Здравоохранение"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158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Развитие системы оказания первичной медико-санитарной помощи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302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1. Число граждан, прошедших профилактические осмотры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0,383 (человек)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0,383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173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Диспансеризация взрослого населения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173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Профилактические осмотры взрослых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173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Профилактические осмотры детей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206"/>
        </w:trPr>
        <w:tc>
          <w:tcPr>
            <w:tcW w:w="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1447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DB57A2" w:rsidRDefault="00504BB3">
      <w:pPr>
        <w:spacing w:line="1" w:lineRule="exact"/>
        <w:rPr>
          <w:rFonts w:ascii="Times New Roman" w:hAnsi="Times New Roman"/>
          <w:sz w:val="20"/>
        </w:rPr>
      </w:pPr>
      <w:r>
        <w:br w:type="page"/>
      </w:r>
    </w:p>
    <w:tbl>
      <w:tblPr>
        <w:tblW w:w="107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24"/>
        <w:gridCol w:w="3629"/>
        <w:gridCol w:w="57"/>
        <w:gridCol w:w="1612"/>
        <w:gridCol w:w="54"/>
        <w:gridCol w:w="1796"/>
        <w:gridCol w:w="1893"/>
        <w:gridCol w:w="1399"/>
      </w:tblGrid>
      <w:tr w:rsidR="00DB57A2">
        <w:trPr>
          <w:trHeight w:val="648"/>
        </w:trPr>
        <w:tc>
          <w:tcPr>
            <w:tcW w:w="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pageBreakBefore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в рамках регионального проекта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в региональном проекте (с указание единицы измерения)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декомпозиции показателя в разрезе муниципальных образований Тверской области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  1  января  2020 года</w:t>
            </w:r>
          </w:p>
        </w:tc>
        <w:tc>
          <w:tcPr>
            <w:tcW w:w="1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B57A2">
        <w:trPr>
          <w:trHeight w:val="398"/>
        </w:trPr>
        <w:tc>
          <w:tcPr>
            <w:tcW w:w="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475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Показатель 2. Доля впервые в жизни </w:t>
            </w:r>
            <w:proofErr w:type="gramStart"/>
            <w:r>
              <w:rPr>
                <w:sz w:val="20"/>
              </w:rPr>
              <w:t>установленных</w:t>
            </w:r>
            <w:proofErr w:type="gramEnd"/>
            <w:r>
              <w:rPr>
                <w:sz w:val="20"/>
              </w:rPr>
              <w:t xml:space="preserve"> неинфекционных заболевании, выявленных при проведении диспансеризации и профилактическом медицинском осмотре</w:t>
            </w: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13,6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достижение показателя выполняется за счет диспансеризации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64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66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3. 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</w:t>
            </w: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 (ед.)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734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4. Доля записей к врачу, совершенных гражданами без очного обращения в регистратуру медицинской организации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11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Информирование граждан о возможности записи в медицинские организации посредством РМИС и портала </w:t>
            </w:r>
            <w:proofErr w:type="spellStart"/>
            <w:r>
              <w:rPr>
                <w:sz w:val="20"/>
              </w:rPr>
              <w:t>госуслуг</w:t>
            </w:r>
            <w:proofErr w:type="spellEnd"/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</w:tr>
      <w:tr w:rsidR="00DB57A2">
        <w:trPr>
          <w:trHeight w:val="1190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5. Доля обоснованных жалоб (от общего количества поступивших жалоб), урегулированных в досудебном порядке страховыми медицинскими организациями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55,7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Информирование граждан о возможности обращаться в страховые компании (которая выдала полис ОМС) с проблемами, показатель выполняется за счет страховых компаний (медицинских представителей)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</w:tr>
      <w:tr w:rsidR="00DB57A2">
        <w:trPr>
          <w:trHeight w:val="1195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tabs>
                <w:tab w:val="left" w:pos="2750"/>
              </w:tabs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6. Доля медицинских организаций, оказывающих в рамках обязательного медицинского страхования</w:t>
            </w:r>
            <w:r>
              <w:rPr>
                <w:sz w:val="20"/>
              </w:rPr>
              <w:tab/>
              <w:t>первичную медико-санитарную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</w:t>
            </w:r>
          </w:p>
          <w:p w:rsidR="00DB57A2" w:rsidRDefault="00DB57A2">
            <w:pPr>
              <w:pStyle w:val="ad"/>
              <w:tabs>
                <w:tab w:val="left" w:pos="2750"/>
              </w:tabs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tabs>
                <w:tab w:val="left" w:pos="2750"/>
              </w:tabs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45,1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64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Информирование граждан о возможности обращаться в страховые компании (которая выдала </w:t>
            </w:r>
            <w:proofErr w:type="spellStart"/>
            <w:r>
              <w:rPr>
                <w:sz w:val="20"/>
              </w:rPr>
              <w:t>полйс</w:t>
            </w:r>
            <w:proofErr w:type="spellEnd"/>
            <w:r>
              <w:rPr>
                <w:sz w:val="20"/>
              </w:rPr>
              <w:t xml:space="preserve"> ОМС) с проблемами, показатель выполняется за счет страховых компаний (медицинских представителей)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64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42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7. Число лиц (пациентов), дополнительно эвакуированных с использованием санитарной авиации (ежегодно, человек) не менее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 (человек)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Показателю соответствует мероприятие "создание вертолетных площадок"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 w:rsidP="00344410">
            <w:pPr>
              <w:pStyle w:val="ad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64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8. Создание вертолетных площадок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обустроена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Показатель 9. Количество посещений при выездах мобильных медицинских бригад</w:t>
            </w:r>
          </w:p>
          <w:p w:rsidR="00DB57A2" w:rsidRDefault="00DB57A2">
            <w:pPr>
              <w:pStyle w:val="ad"/>
              <w:spacing w:line="264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30700 (ед.)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Итог в конце 2019 года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595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10. Содействие в доставке пациентов (преимущественно подлежащих диспансеризации и лиц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таршего поколения) до точек установки мобильных комплексов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jc w:val="center"/>
              <w:rPr>
                <w:color w:val="C9211E"/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ССЗ.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>, (ориентировочное количество, сколько пациентов должно пройти всего)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739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11. Поддержание в удовлетворительном состоянии дорожного полотна до населенных пунктов, обеспечение работы мобильных комплексов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ССЗ,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 xml:space="preserve"> (наличие площадки, подключение к электросетям соответствующей мощности)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154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Борьба с </w:t>
            </w:r>
            <w:proofErr w:type="gramStart"/>
            <w:r>
              <w:rPr>
                <w:sz w:val="20"/>
              </w:rPr>
              <w:t>сердечно-сосудистыми</w:t>
            </w:r>
            <w:proofErr w:type="gramEnd"/>
            <w:r>
              <w:rPr>
                <w:sz w:val="20"/>
              </w:rPr>
              <w:t xml:space="preserve"> заболеваниями</w:t>
            </w: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 w:rsidP="003444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595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1. Содействие в доставке пациентов (преимущественно подлежащих диспансеризации и лиц старшего поколения) до точек установки мобильных комплексов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jc w:val="center"/>
              <w:rPr>
                <w:color w:val="C9211E"/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ССЗ,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 xml:space="preserve"> (ориентировочное количество, сколько пациентов должно пройти всего)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739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2. Поддержание в удовлетворительном состоянии дорожного полотна до населенных пунктов, обеспечение работы мобильных комплексов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ССЗ,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 xml:space="preserve"> (наличие площадки, подключение к электросетям соответствующей мощности)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451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3. Содействие в увеличении информированности граждан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jc w:val="center"/>
              <w:rPr>
                <w:color w:val="C9211E"/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ССЗ.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 xml:space="preserve"> (количество единиц публикаций, плакатов), не менее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4. Снижение смертности от болезней системы кровообращения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(предельно допустимое количество умерших) в </w:t>
            </w:r>
            <w:proofErr w:type="spellStart"/>
            <w:r>
              <w:rPr>
                <w:sz w:val="20"/>
              </w:rPr>
              <w:t>абс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ислах</w:t>
            </w:r>
            <w:proofErr w:type="spell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5. Смертности от инфаркта миокарда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61,3 (на 100 тыс. населения)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Показатель 6. Смертность от инфаркта миокарда, на 100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аселения</w:t>
            </w:r>
            <w:proofErr w:type="spellEnd"/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(предельно допустимое количество умерших) в </w:t>
            </w:r>
            <w:proofErr w:type="spellStart"/>
            <w:r>
              <w:rPr>
                <w:sz w:val="20"/>
              </w:rPr>
              <w:t>абс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ислах</w:t>
            </w:r>
            <w:proofErr w:type="spell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7. Смертность от острого нарушения мозгового кровообращения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lastRenderedPageBreak/>
              <w:t>134 (на 100 тыс. населения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88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8. Смертность от острого нарушения мозгового кровообращения</w:t>
            </w:r>
          </w:p>
          <w:p w:rsidR="00DB57A2" w:rsidRDefault="00DB57A2">
            <w:pPr>
              <w:pStyle w:val="ad"/>
              <w:spacing w:line="288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(предельно допустимое количество </w:t>
            </w:r>
            <w:proofErr w:type="gramStart"/>
            <w:r>
              <w:rPr>
                <w:sz w:val="20"/>
              </w:rPr>
              <w:t>умерших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9. Ишемического характера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. (предельно допустимое количество </w:t>
            </w:r>
            <w:proofErr w:type="gramStart"/>
            <w:r>
              <w:rPr>
                <w:sz w:val="20"/>
              </w:rPr>
              <w:t>умерших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tabs>
                <w:tab w:val="left" w:pos="3466"/>
              </w:tabs>
              <w:spacing w:line="240" w:lineRule="auto"/>
              <w:rPr>
                <w:color w:val="C9211E"/>
                <w:sz w:val="20"/>
              </w:rPr>
            </w:pPr>
            <w:r>
              <w:rPr>
                <w:sz w:val="20"/>
              </w:rPr>
              <w:t>Показатель 10.Геморрагического характера</w:t>
            </w:r>
          </w:p>
          <w:p w:rsidR="00DB57A2" w:rsidRDefault="00DB57A2">
            <w:pPr>
              <w:pStyle w:val="ad"/>
              <w:tabs>
                <w:tab w:val="left" w:pos="3466"/>
              </w:tabs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tabs>
                <w:tab w:val="left" w:pos="3466"/>
              </w:tabs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(предельно допустимое количество </w:t>
            </w:r>
            <w:proofErr w:type="gramStart"/>
            <w:r>
              <w:rPr>
                <w:sz w:val="20"/>
              </w:rPr>
              <w:t>умерших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878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11. Больничная летальность от инфаркта миокарда</w:t>
            </w: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40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не декомпозирован, зависит от деятельности </w:t>
            </w:r>
            <w:proofErr w:type="spellStart"/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рганизаций</w:t>
            </w:r>
            <w:proofErr w:type="spellEnd"/>
            <w:r>
              <w:rPr>
                <w:sz w:val="20"/>
              </w:rPr>
              <w:t>. Содействие и поддержание в удовлетворительном состоянии дорожного полотна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</w:tr>
      <w:tr w:rsidR="00DB57A2">
        <w:trPr>
          <w:trHeight w:val="874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12. Больничная летальность от острого нарушения мозгового кровообращения, %</w:t>
            </w: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  <w:p w:rsidR="00DB57A2" w:rsidRDefault="00DB57A2">
            <w:pPr>
              <w:pStyle w:val="ad"/>
              <w:spacing w:line="276" w:lineRule="auto"/>
              <w:rPr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17,2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не декомпозирован, зависит от деятельности </w:t>
            </w:r>
            <w:proofErr w:type="spellStart"/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рганизаций</w:t>
            </w:r>
            <w:proofErr w:type="spellEnd"/>
            <w:r>
              <w:rPr>
                <w:sz w:val="20"/>
              </w:rPr>
              <w:t xml:space="preserve">, Содействие и поддержание в удовлетворительном состоянии дорожного полотна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</w:tr>
      <w:tr w:rsidR="00DB57A2">
        <w:trPr>
          <w:trHeight w:val="499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13. Отношение числа рентген-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эндоваскулярных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вмешательств в лечебных целях, к общему числу выбывших больных, перенесших острый коронарный синдром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не декомпозирован, зависит от деятельности </w:t>
            </w:r>
            <w:proofErr w:type="spellStart"/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рганизаций</w:t>
            </w:r>
            <w:proofErr w:type="spellEnd"/>
            <w:r>
              <w:rPr>
                <w:sz w:val="20"/>
              </w:rPr>
              <w:t>. Содействие и поддержание в удовлетворительном состоянии дорожного полотна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64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499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14. Количество рентген-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эндоваскулярных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вмешательств в лечебных целях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2,661 (</w:t>
            </w:r>
            <w:proofErr w:type="spellStart"/>
            <w:r>
              <w:rPr>
                <w:sz w:val="20"/>
              </w:rPr>
              <w:t>тыс.ед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не декомпозирован, зависит от деятельности </w:t>
            </w:r>
            <w:proofErr w:type="spellStart"/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рганизаций</w:t>
            </w:r>
            <w:proofErr w:type="spellEnd"/>
            <w:r>
              <w:rPr>
                <w:sz w:val="20"/>
              </w:rPr>
              <w:t>. Содействие и поддержание в удовлетворительном состоянии дорожного полотна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</w:tr>
      <w:tr w:rsidR="00DB57A2">
        <w:trPr>
          <w:trHeight w:val="499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spacing w:line="240" w:lineRule="atLeast"/>
              <w:rPr>
                <w:rFonts w:hint="eastAsia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15. Доля профильных госпитализаций пациентов с острыми нарушениями мозгового кровообращения, доставленных автомобилями скорой медицинской помощи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73,7 (%)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не декомпозирован, зависит от деятельности </w:t>
            </w:r>
            <w:proofErr w:type="spellStart"/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рганизаций</w:t>
            </w:r>
            <w:proofErr w:type="spellEnd"/>
            <w:r>
              <w:rPr>
                <w:sz w:val="20"/>
              </w:rPr>
              <w:t xml:space="preserve">. Содействие и поддержание в удовлетворительном состоянии </w:t>
            </w:r>
            <w:r>
              <w:rPr>
                <w:sz w:val="20"/>
              </w:rPr>
              <w:lastRenderedPageBreak/>
              <w:t>дорожного полотна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</w:p>
        </w:tc>
      </w:tr>
      <w:tr w:rsidR="00DB57A2">
        <w:trPr>
          <w:trHeight w:val="499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2.3</w:t>
            </w: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Борьба с онкологическими заболеваниями</w:t>
            </w: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499"/>
        </w:trPr>
        <w:tc>
          <w:tcPr>
            <w:tcW w:w="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1. Содействие в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доставку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"'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пациентов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(преимущественно подлежащих диспансеризации и лиц старшего поколения) до точек установки мобильных комплексов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d"/>
              <w:jc w:val="center"/>
              <w:rPr>
                <w:color w:val="C9211E"/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ССЗ,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 xml:space="preserve"> (ориентировочное количество, сколько пациентов должно пройти всего)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744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Поддержание в удовлетворительном состоянии дорожного полотна до населенных пунктов, обеспечение работы мобильных комплексов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ССЗ,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 xml:space="preserve"> (наличие площадки, подключение к электросетям соответствующей мощности)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595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3. Содействие в увеличении информированности граждан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jc w:val="center"/>
              <w:rPr>
                <w:color w:val="C9211E"/>
                <w:sz w:val="20"/>
              </w:rPr>
            </w:pPr>
            <w:proofErr w:type="gramStart"/>
            <w:r>
              <w:rPr>
                <w:sz w:val="20"/>
              </w:rPr>
              <w:t>общий</w:t>
            </w:r>
            <w:proofErr w:type="gramEnd"/>
            <w:r>
              <w:rPr>
                <w:sz w:val="20"/>
              </w:rPr>
              <w:t xml:space="preserve"> для ПМСП, Борьба с ССЗ, Борьба с </w:t>
            </w:r>
            <w:proofErr w:type="spellStart"/>
            <w:r>
              <w:rPr>
                <w:sz w:val="20"/>
              </w:rPr>
              <w:t>Онко</w:t>
            </w:r>
            <w:proofErr w:type="spellEnd"/>
            <w:r>
              <w:rPr>
                <w:sz w:val="20"/>
              </w:rPr>
              <w:t xml:space="preserve"> (количество единиц публикаций, плакатов), не менее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4. Снижение смертности от новообразований, в том числе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злокачественных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 xml:space="preserve">(предельно допустимое количество умерших) в </w:t>
            </w:r>
            <w:proofErr w:type="spellStart"/>
            <w:r>
              <w:rPr>
                <w:sz w:val="20"/>
              </w:rPr>
              <w:t>абс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ислах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857ABF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5. Доля злокачественных новообразований, выявленных на ранних стадиях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55,8 (%)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б. Удельный вес больных со злокачественными новообразованиями, состоящих на Учете 5 лети более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59.1 (%)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624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7. 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впервые, взятых на учет в предыдущем году)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tabs>
                <w:tab w:val="left" w:pos="566"/>
                <w:tab w:val="left" w:pos="763"/>
                <w:tab w:val="left" w:pos="1291"/>
              </w:tabs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tabs>
                <w:tab w:val="left" w:pos="566"/>
                <w:tab w:val="left" w:pos="763"/>
                <w:tab w:val="left" w:pos="129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tabs>
                <w:tab w:val="left" w:pos="566"/>
                <w:tab w:val="left" w:pos="763"/>
                <w:tab w:val="left" w:pos="1291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857ABF">
        <w:trPr>
          <w:trHeight w:val="888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 Доля преждевременных родов (22 - 37 недель) в перинатальных центрах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40 (%)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jc w:val="center"/>
              <w:rPr>
                <w:color w:val="C9211E"/>
              </w:rPr>
            </w:pPr>
            <w:r>
              <w:rPr>
                <w:sz w:val="20"/>
              </w:rPr>
              <w:t>100 % беременных женщин, направленных в организации более высокого уровня по медицинским показаниям, должны быть доставлены к месту обследования и лечения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857ABF" w:rsidP="00857AB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DB57A2">
        <w:trPr>
          <w:trHeight w:val="31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2. Снижение младенческой смертности (до 4,2 на 1 тыс. родившихся </w:t>
            </w:r>
            <w:r>
              <w:rPr>
                <w:rFonts w:ascii="Times New Roman" w:hAnsi="Times New Roman"/>
                <w:b w:val="0"/>
                <w:sz w:val="20"/>
              </w:rPr>
              <w:lastRenderedPageBreak/>
              <w:t>детей)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lastRenderedPageBreak/>
              <w:t>4,5(%)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3. Не допустить превышения количества детей, умерших на первом году жизни (расчетный показатель)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48 (человек)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4. Смертность детей в возрасте 0-4 года на 1000 родившихся живыми</w:t>
            </w:r>
          </w:p>
          <w:p w:rsidR="00DB57A2" w:rsidRDefault="00DB57A2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5,5 (%)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5. Не допустить превышения количества детей, умерших в возрасте от 0 до 4 лёт (расчетный показатель)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60 (человек)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7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6. Смертность детей в возрасте 0 - 17 лет на 100 тыс. детей соответствующего возраста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50,1 (на 100 тыс. детей соответствующего возраста)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0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color w:val="C9211E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7. Не допустить превышения количества детей, умерших в возрасте от 0 до 17 лет (расчётный показатель)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119 (человек)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color w:val="C9211E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31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624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.1. Назначение ответственного лица в администрации муниципального образования по взаимодействию с центральными районными больницами и Министерством здравоохранения Тверской области по устранению кадрового дефицита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наличие, да/нет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302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Проведение индивидуальной работы с лицами, обучающимися в рамках целевого набора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наличие, да/нет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461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3. Наличие мер социальной поддержки в муниципальном образовании (единовременные выплаты при трудоустройстве на работу медицинских работников)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наличие, да/нет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461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4. Наличие ежемесячных выплат в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образований специалистам особо дефицитных медицинских специальностей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наличие, да/нет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578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5. Предоставления служебного жилья медицинским работникам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наличие, да/нет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535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б. Выделение земельных участков медицинским работникам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наличие, да/нет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298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7. Наличие комплекса мер по повышению общественного статуса медицинских работников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наличие, да/нет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154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Национальный проект "Образование"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154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spacing w:line="240" w:lineRule="atLeas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Современная школа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578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Показатель 1 .Численность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  <w:proofErr w:type="gramEnd"/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(человек)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>
        <w:trPr>
          <w:trHeight w:val="578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Показатель 2. Доля муниципальных образований Тверской области, в которых ликвидировано обучение в 3-ю смену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(%)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>
        <w:trPr>
          <w:trHeight w:val="578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Успех каждого ребенка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>
        <w:trPr>
          <w:trHeight w:val="578"/>
        </w:trPr>
        <w:tc>
          <w:tcPr>
            <w:tcW w:w="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Показатель 1. Доля детей в возрасте от 5 до 18 лет, охваченных дополнительным образованием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 (%)</w:t>
            </w:r>
          </w:p>
        </w:tc>
        <w:tc>
          <w:tcPr>
            <w:tcW w:w="1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DB57A2" w:rsidRDefault="00504BB3">
      <w:pPr>
        <w:spacing w:line="1" w:lineRule="exact"/>
        <w:rPr>
          <w:rFonts w:ascii="Times New Roman" w:hAnsi="Times New Roman"/>
          <w:sz w:val="20"/>
        </w:rPr>
      </w:pPr>
      <w:r>
        <w:br w:type="page"/>
      </w:r>
    </w:p>
    <w:tbl>
      <w:tblPr>
        <w:tblW w:w="10769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812"/>
        <w:gridCol w:w="46"/>
        <w:gridCol w:w="1174"/>
        <w:gridCol w:w="229"/>
        <w:gridCol w:w="1407"/>
        <w:gridCol w:w="293"/>
        <w:gridCol w:w="1968"/>
        <w:gridCol w:w="80"/>
        <w:gridCol w:w="1282"/>
        <w:gridCol w:w="133"/>
      </w:tblGrid>
      <w:tr w:rsidR="00DB57A2" w:rsidTr="00344410">
        <w:trPr>
          <w:trHeight w:val="1051"/>
        </w:trPr>
        <w:tc>
          <w:tcPr>
            <w:tcW w:w="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pageBreakBefore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/п/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tabs>
                <w:tab w:val="left" w:pos="826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ab/>
              <w:t>Показатели в рамках регионального проекта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в региональном проекте (с указание единицы измерения)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декомпозиции показателя в разрезе муниципальных образований Тверской области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  1  января  2020 года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B57A2" w:rsidTr="00344410">
        <w:trPr>
          <w:trHeight w:val="315"/>
        </w:trPr>
        <w:tc>
          <w:tcPr>
            <w:tcW w:w="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  <w:p w:rsidR="00DB57A2" w:rsidRDefault="00DB57A2">
            <w:pPr>
              <w:pStyle w:val="ad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1085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2. Число детей, охваченных деятельностью детских технопарков «</w:t>
            </w:r>
            <w:proofErr w:type="spellStart"/>
            <w:r>
              <w:rPr>
                <w:sz w:val="20"/>
              </w:rPr>
              <w:t>Кванториум</w:t>
            </w:r>
            <w:proofErr w:type="spellEnd"/>
            <w:r>
              <w:rPr>
                <w:sz w:val="20"/>
              </w:rPr>
              <w:t>» (мобильных технопарков «</w:t>
            </w:r>
            <w:proofErr w:type="spellStart"/>
            <w:r>
              <w:rPr>
                <w:sz w:val="20"/>
              </w:rPr>
              <w:t>Кванториум</w:t>
            </w:r>
            <w:proofErr w:type="spellEnd"/>
            <w:r>
              <w:rPr>
                <w:sz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 (человек)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bookmarkStart w:id="1" w:name="__DdeLink__3823_309328580"/>
            <w:bookmarkEnd w:id="1"/>
            <w:r>
              <w:rPr>
                <w:sz w:val="20"/>
              </w:rPr>
              <w:t>32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77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3. Число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», «Уроки настоящего» или иных аналогичных по возможностям функциям и результатам проектах, направленных на раннюю профориентацию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 (человек)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77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(человек)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15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Поддержка семей, имеющих детей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773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1.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10 000 (ед.)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46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2.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 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149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Цифровая образовательная среда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42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1. Доля образовательных организаций, расположенных на территории муниципального образования, обеспеченных Интернет- соединением со скоростью соединения не менее 100Мб/с — для образовательных организаций, расположенных в городах, 50Мб/с — для образовательных организаций, расположенных в сельской местности и поселках городского типа, а также гарантированным Интерне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трафиком, в общем числе образовательных организаций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 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773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2. Доля населённых пунктов, имеющих образовательные организации, реализующие образовательные программы общего образования,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1243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3. </w:t>
            </w:r>
            <w:proofErr w:type="gramStart"/>
            <w:r>
              <w:rPr>
                <w:sz w:val="20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в общем числе обучающихся по указанным программам</w:t>
            </w:r>
            <w:proofErr w:type="gramEnd"/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 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ind w:hanging="79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92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tabs>
                <w:tab w:val="left" w:pos="696"/>
                <w:tab w:val="left" w:pos="2011"/>
                <w:tab w:val="left" w:pos="2957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4. Доля образовательных организаций, реализующих программы общего образования, дополнительного образования детей и среднего профессионального</w:t>
            </w:r>
            <w:r>
              <w:rPr>
                <w:sz w:val="20"/>
              </w:rPr>
              <w:tab/>
              <w:t>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 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92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5. Доля обучающихся по программам общего образования и среднего профессионального образования, использующих федеральную </w:t>
            </w:r>
            <w:proofErr w:type="spellStart"/>
            <w:r>
              <w:rPr>
                <w:sz w:val="20"/>
              </w:rPr>
              <w:t>нформационно</w:t>
            </w:r>
            <w:proofErr w:type="spellEnd"/>
            <w:r>
              <w:rPr>
                <w:sz w:val="20"/>
              </w:rPr>
              <w:t>-сервисную платформу цифровой образовательной среды для «горизонтального» обучения и неформального образования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общем числе обучающихся по указанным программам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91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6.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Российской Федерации») в общем числе педагогических работников общего образования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 w:rsidP="00344410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ind w:firstLine="360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149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Учитель будущего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28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Показатель 1. 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62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 w:rsidP="00344410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Показатель 2. Доля населенных пунктов, имеющих образовательные организации, обеспечивших деятельность центров непрерывного повышения профессионального мастерства педагогических работников </w:t>
            </w:r>
            <w:proofErr w:type="spellStart"/>
            <w:r>
              <w:rPr>
                <w:sz w:val="20"/>
              </w:rPr>
              <w:t>аккредитационные</w:t>
            </w:r>
            <w:proofErr w:type="spellEnd"/>
            <w:r>
              <w:rPr>
                <w:sz w:val="20"/>
              </w:rPr>
              <w:t xml:space="preserve"> центры системы образования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d"/>
              <w:spacing w:line="240" w:lineRule="auto"/>
              <w:jc w:val="center"/>
              <w:rPr>
                <w:sz w:val="20"/>
              </w:rPr>
            </w:pPr>
          </w:p>
        </w:tc>
      </w:tr>
      <w:tr w:rsidR="00DB57A2" w:rsidTr="00344410">
        <w:trPr>
          <w:trHeight w:val="149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3.6</w:t>
            </w: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Социальная активность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92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(человек)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47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47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92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Число граждан, вовлеченных в добровольческую деятельность</w:t>
            </w:r>
          </w:p>
          <w:p w:rsidR="00DB57A2" w:rsidRDefault="00DB57A2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(человек)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514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514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92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3. Число молодежи, задействованной в мероприятиях по вовлечению в творческую деятельность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(человек от общего числа молодежи Тверской области)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163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163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68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4. Число студентов, вовлеченных в клубное студенческое движение</w:t>
            </w:r>
          </w:p>
          <w:p w:rsidR="00DB57A2" w:rsidRDefault="00DB57A2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(человек от общего числа студентов Тверской области)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hint="eastAsia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rPr>
          <w:trHeight w:val="51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Национальный проект "Жилье и городская среда"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rPr>
          <w:trHeight w:val="315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4.1</w:t>
            </w: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Жилье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rPr>
          <w:trHeight w:val="65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Общий объем ввода жилья, млн. кв. метров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0,635 (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млн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кв. м.)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 w:rsidP="00B523AC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0,</w:t>
            </w:r>
            <w:r w:rsidR="00B523AC">
              <w:rPr>
                <w:rFonts w:ascii="Times New Roman" w:hAnsi="Times New Roman"/>
                <w:b w:val="0"/>
                <w:sz w:val="20"/>
              </w:rPr>
              <w:t>0003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 w:rsidP="00344410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0,000325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4.2</w:t>
            </w: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Формирование комфортной городской среды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Среднее значение индекса качества городской среды по Тверской области</w:t>
            </w:r>
          </w:p>
          <w:p w:rsidR="00DB57A2" w:rsidRDefault="00DB57A2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N+2%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Доля городов с благоприятной средой от общего количества городов Тверской области</w:t>
            </w:r>
          </w:p>
          <w:p w:rsidR="00DB57A2" w:rsidRDefault="00DB57A2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0,25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3. Доля, граждан, принявших участие в решении вопросов развития городской среды от общего количества граждан в возрасте от 14 лет, проживающих в городах, на территории которых реализуются проекты по созданию комфортной среды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(%)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0,09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4. Количество благоустроенных общественных пространств, включенных в 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государственную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(муниципальные) программы формирования современной городской среды, в том числе в городах Тверской области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(шт.)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5. Количество благоустроенных дворовых территорий, включенных в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государственную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(муниципальные) программы формирования современной городской среды, в том числе в городах Тверской области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(шт.)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638"/>
        </w:trPr>
        <w:tc>
          <w:tcPr>
            <w:tcW w:w="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</w:tcPr>
          <w:p w:rsidR="00DB57A2" w:rsidRDefault="00504BB3">
            <w:pPr>
              <w:pStyle w:val="a9"/>
              <w:pageBreakBefore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Показатели в рамках регионального проекта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Значение показателя в региональном проекте (с указание единицы измерения)</w:t>
            </w:r>
          </w:p>
        </w:tc>
        <w:tc>
          <w:tcPr>
            <w:tcW w:w="16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7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Сведения о декомпозиции показателя в разрезе муниципальных образований Тверской области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7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  1 января  2020 года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  <w:vAlign w:val="bottom"/>
          </w:tcPr>
          <w:p w:rsidR="00DB57A2" w:rsidRDefault="00504BB3">
            <w:pPr>
              <w:pStyle w:val="ad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408"/>
        </w:trPr>
        <w:tc>
          <w:tcPr>
            <w:tcW w:w="34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2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Сандовский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район</w:t>
            </w:r>
          </w:p>
        </w:tc>
        <w:tc>
          <w:tcPr>
            <w:tcW w:w="226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7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" w:type="dxa"/>
            </w:tcMar>
            <w:vAlign w:val="bottom"/>
          </w:tcPr>
          <w:p w:rsidR="00DB57A2" w:rsidRDefault="00DB57A2">
            <w:pPr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12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4.3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Pr="00344410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I. Количество квадратных метров расселенного аварийного жилищного фонда, тыс. кв. м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84,43</w:t>
            </w:r>
          </w:p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тыс.кв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Количество граждан, расселенных из аварийного жилищного Фонда, тыс. человек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4.75</w:t>
            </w:r>
          </w:p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(тыс. человек)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15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Национальный проект "Экология"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Pr="00344410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15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5.1.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Чистая страна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Pr="00344410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Количество проектов на рекультивацию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(шт.)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15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5.2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Сохранение уникальных водных объектов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Pr="00344410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Протяженность расчищенных участков русел рек на территории Тверской области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км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15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Национальный проект "Культура"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6.1.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Обеспечение качественно нового уровня развития инфраструктуры ("Культурная среда")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12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Увеличение количества посещений организаций культуры (к уровню 2017 года)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(%)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101,31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101,39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Количество организаций культуры Тверской области, получивших современное оборудование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(ед.)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12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3. 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(ед.)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1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2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7.1.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61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1. Плановое количество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представленных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субъектам. МСП поручительств Фонда содействия кредитованию малого и среднего предпринимательства Тверской области по кредитным договорам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(ед.)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344410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B523AC" w:rsidRDefault="00B523AC" w:rsidP="0085309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523AC">
              <w:rPr>
                <w:rFonts w:ascii="Times New Roman" w:hAnsi="Times New Roman"/>
                <w:b w:val="0"/>
                <w:sz w:val="20"/>
              </w:rPr>
              <w:t xml:space="preserve">обратился </w:t>
            </w:r>
            <w:r>
              <w:rPr>
                <w:rFonts w:ascii="Times New Roman" w:hAnsi="Times New Roman"/>
                <w:b w:val="0"/>
                <w:sz w:val="20"/>
              </w:rPr>
              <w:t xml:space="preserve">1 субъект </w:t>
            </w:r>
            <w:r w:rsidRPr="00B523AC">
              <w:rPr>
                <w:rFonts w:ascii="Times New Roman" w:hAnsi="Times New Roman"/>
                <w:b w:val="0"/>
                <w:sz w:val="20"/>
              </w:rPr>
              <w:t>М</w:t>
            </w:r>
            <w:r>
              <w:rPr>
                <w:rFonts w:ascii="Times New Roman" w:hAnsi="Times New Roman"/>
                <w:b w:val="0"/>
                <w:sz w:val="20"/>
              </w:rPr>
              <w:t>С</w:t>
            </w:r>
            <w:r w:rsidRPr="00B523AC">
              <w:rPr>
                <w:rFonts w:ascii="Times New Roman" w:hAnsi="Times New Roman"/>
                <w:b w:val="0"/>
                <w:sz w:val="20"/>
              </w:rPr>
              <w:t>П</w:t>
            </w:r>
            <w:r>
              <w:rPr>
                <w:rFonts w:ascii="Times New Roman" w:hAnsi="Times New Roman"/>
                <w:b w:val="0"/>
                <w:sz w:val="20"/>
              </w:rPr>
              <w:t xml:space="preserve"> -</w:t>
            </w:r>
            <w:r w:rsidRPr="00B523AC">
              <w:rPr>
                <w:rFonts w:ascii="Times New Roman" w:hAnsi="Times New Roman"/>
                <w:b w:val="0"/>
                <w:sz w:val="20"/>
              </w:rPr>
              <w:t xml:space="preserve"> по причине отсутствия возможности обеспечения залогом имущества заемщика и несоответствия установленных требований к заемщику при оформлении поручительства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53093">
              <w:rPr>
                <w:rFonts w:ascii="Times New Roman" w:hAnsi="Times New Roman"/>
                <w:b w:val="0"/>
                <w:sz w:val="20"/>
              </w:rPr>
              <w:t>не смог претендовать на получение</w:t>
            </w:r>
            <w:r w:rsidRPr="00B523AC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461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Показатель 2. Плановое количество </w:t>
            </w:r>
            <w:proofErr w:type="gramStart"/>
            <w:r>
              <w:rPr>
                <w:rFonts w:ascii="Times New Roman" w:hAnsi="Times New Roman"/>
                <w:b w:val="0"/>
                <w:sz w:val="20"/>
              </w:rPr>
              <w:t>предоставленных</w:t>
            </w:r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субъектам МСП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микрозаймов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Фонда содействия кредитованию Малого и среднего предпринимательства Тверской области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(ед.)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344410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B523AC" w:rsidRDefault="00B523AC" w:rsidP="00B523AC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B523AC">
              <w:rPr>
                <w:rFonts w:ascii="Times New Roman" w:hAnsi="Times New Roman"/>
                <w:b w:val="0"/>
                <w:sz w:val="20"/>
              </w:rPr>
              <w:t xml:space="preserve">обратились 4 </w:t>
            </w:r>
            <w:r>
              <w:rPr>
                <w:rFonts w:ascii="Times New Roman" w:hAnsi="Times New Roman"/>
                <w:b w:val="0"/>
                <w:sz w:val="20"/>
              </w:rPr>
              <w:t xml:space="preserve">субъекта </w:t>
            </w:r>
            <w:r w:rsidRPr="00B523AC">
              <w:rPr>
                <w:rFonts w:ascii="Times New Roman" w:hAnsi="Times New Roman"/>
                <w:b w:val="0"/>
                <w:sz w:val="20"/>
              </w:rPr>
              <w:t>М</w:t>
            </w:r>
            <w:r>
              <w:rPr>
                <w:rFonts w:ascii="Times New Roman" w:hAnsi="Times New Roman"/>
                <w:b w:val="0"/>
                <w:sz w:val="20"/>
              </w:rPr>
              <w:t>С</w:t>
            </w:r>
            <w:r w:rsidRPr="00B523AC">
              <w:rPr>
                <w:rFonts w:ascii="Times New Roman" w:hAnsi="Times New Roman"/>
                <w:b w:val="0"/>
                <w:sz w:val="20"/>
              </w:rPr>
              <w:t xml:space="preserve">П - по причине отсутствия возможности обеспечения залогом имущества заемщика и несоответствия установленных требований к заемщику при оформлении </w:t>
            </w:r>
            <w:proofErr w:type="spellStart"/>
            <w:r w:rsidRPr="00B523AC">
              <w:rPr>
                <w:rFonts w:ascii="Times New Roman" w:hAnsi="Times New Roman"/>
                <w:b w:val="0"/>
                <w:sz w:val="20"/>
              </w:rPr>
              <w:t>микрозаймов</w:t>
            </w:r>
            <w:proofErr w:type="spellEnd"/>
            <w:r w:rsidRPr="00B523A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53093">
              <w:rPr>
                <w:rFonts w:ascii="Times New Roman" w:hAnsi="Times New Roman"/>
                <w:b w:val="0"/>
                <w:sz w:val="20"/>
              </w:rPr>
              <w:t>не смогли претендовать на получение</w:t>
            </w:r>
            <w:r w:rsidR="00853093" w:rsidRPr="00B523AC">
              <w:rPr>
                <w:rFonts w:ascii="Times New Roman" w:hAnsi="Times New Roman"/>
                <w:b w:val="0"/>
                <w:sz w:val="20"/>
              </w:rPr>
              <w:t xml:space="preserve">  </w:t>
            </w: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15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7.3.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7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Количество субъектов МСП и само занятых граждан, воспользовавшихся услугами Центра "Мой бизнес"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(ед.)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344410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34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02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Количество субъектов МСП, имеющих экспортный потенциал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(ед.)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B523AC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158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7.4.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bottom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Популяризация предпринимательства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456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1. Количество физических лиц, направленных на обучение основам ведения бизнеса по программам Центра "Мой бизнес"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(человек)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344410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57A2" w:rsidTr="00344410">
        <w:tblPrEx>
          <w:tblBorders>
            <w:top w:val="single" w:sz="2" w:space="0" w:color="000001"/>
            <w:left w:val="single" w:sz="2" w:space="0" w:color="000001"/>
            <w:right w:val="single" w:sz="2" w:space="0" w:color="000001"/>
            <w:insideV w:val="single" w:sz="2" w:space="0" w:color="000001"/>
          </w:tblBorders>
          <w:tblCellMar>
            <w:left w:w="7" w:type="dxa"/>
          </w:tblCellMar>
        </w:tblPrEx>
        <w:trPr>
          <w:gridAfter w:val="1"/>
          <w:wAfter w:w="133" w:type="dxa"/>
          <w:trHeight w:val="384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DB57A2" w:rsidRDefault="00504BB3">
            <w:pPr>
              <w:pStyle w:val="a9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Показатель 2. Количество физических лиц, принявших участие в мероприятиях Центра "Мой бизнес"</w:t>
            </w:r>
          </w:p>
        </w:tc>
        <w:tc>
          <w:tcPr>
            <w:tcW w:w="1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(человек)</w:t>
            </w:r>
          </w:p>
        </w:tc>
        <w:tc>
          <w:tcPr>
            <w:tcW w:w="1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504BB3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Pr="00344410" w:rsidRDefault="00344410">
            <w:pPr>
              <w:pStyle w:val="a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44410"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  <w:tc>
          <w:tcPr>
            <w:tcW w:w="1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DB57A2" w:rsidRDefault="00DB57A2">
            <w:pPr>
              <w:pStyle w:val="a9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57A2" w:rsidRDefault="00DB57A2"/>
    <w:p w:rsidR="0097622E" w:rsidRPr="0097622E" w:rsidRDefault="0097622E" w:rsidP="00976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Сандовского</w:t>
      </w:r>
      <w:proofErr w:type="spellEnd"/>
      <w:r>
        <w:rPr>
          <w:rFonts w:ascii="Times New Roman" w:hAnsi="Times New Roman" w:cs="Times New Roman"/>
        </w:rPr>
        <w:t xml:space="preserve"> района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</w:rPr>
        <w:t>О.Н.Грязнов</w:t>
      </w:r>
      <w:proofErr w:type="spellEnd"/>
    </w:p>
    <w:sectPr w:rsidR="0097622E" w:rsidRPr="0097622E" w:rsidSect="00344410">
      <w:headerReference w:type="default" r:id="rId7"/>
      <w:headerReference w:type="first" r:id="rId8"/>
      <w:pgSz w:w="11906" w:h="16838"/>
      <w:pgMar w:top="567" w:right="567" w:bottom="851" w:left="567" w:header="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F5" w:rsidRDefault="00BF0FF5">
      <w:r>
        <w:separator/>
      </w:r>
    </w:p>
  </w:endnote>
  <w:endnote w:type="continuationSeparator" w:id="0">
    <w:p w:rsidR="00BF0FF5" w:rsidRDefault="00BF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F5" w:rsidRDefault="00BF0FF5">
      <w:r>
        <w:separator/>
      </w:r>
    </w:p>
  </w:footnote>
  <w:footnote w:type="continuationSeparator" w:id="0">
    <w:p w:rsidR="00BF0FF5" w:rsidRDefault="00BF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2" w:rsidRDefault="00DB57A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A2" w:rsidRDefault="00DB57A2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7A2"/>
    <w:rsid w:val="0034278A"/>
    <w:rsid w:val="00344410"/>
    <w:rsid w:val="00504BB3"/>
    <w:rsid w:val="006A2E1A"/>
    <w:rsid w:val="00711013"/>
    <w:rsid w:val="00853093"/>
    <w:rsid w:val="00857ABF"/>
    <w:rsid w:val="00882742"/>
    <w:rsid w:val="0097622E"/>
    <w:rsid w:val="00B523AC"/>
    <w:rsid w:val="00BF0FF5"/>
    <w:rsid w:val="00D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NSimSun" w:hAnsi="Arial Unicode MS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A92FDB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A92FD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semiHidden/>
    <w:unhideWhenUsed/>
    <w:qFormat/>
    <w:rsid w:val="00A92FDB"/>
    <w:pPr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semiHidden/>
    <w:unhideWhenUsed/>
    <w:qFormat/>
    <w:rsid w:val="00A92FD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semiHidden/>
    <w:unhideWhenUsed/>
    <w:qFormat/>
    <w:rsid w:val="00A92FDB"/>
    <w:pPr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2">
    <w:name w:val="Колонтитул (2)"/>
    <w:qFormat/>
    <w:rsid w:val="00A92FDB"/>
    <w:rPr>
      <w:rFonts w:ascii="Times New Roman" w:hAnsi="Times New Roman"/>
      <w:sz w:val="20"/>
    </w:rPr>
  </w:style>
  <w:style w:type="character" w:customStyle="1" w:styleId="Contents2">
    <w:name w:val="Contents 2"/>
    <w:qFormat/>
    <w:rsid w:val="00A92FDB"/>
  </w:style>
  <w:style w:type="character" w:customStyle="1" w:styleId="Contents4">
    <w:name w:val="Contents 4"/>
    <w:qFormat/>
    <w:rsid w:val="00A92FDB"/>
  </w:style>
  <w:style w:type="character" w:customStyle="1" w:styleId="Contents6">
    <w:name w:val="Contents 6"/>
    <w:qFormat/>
    <w:rsid w:val="00A92FDB"/>
  </w:style>
  <w:style w:type="character" w:customStyle="1" w:styleId="Contents7">
    <w:name w:val="Contents 7"/>
    <w:qFormat/>
    <w:rsid w:val="00A92FDB"/>
  </w:style>
  <w:style w:type="character" w:customStyle="1" w:styleId="310">
    <w:name w:val="Заголовок 31"/>
    <w:qFormat/>
    <w:rsid w:val="00A92FDB"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  <w:rsid w:val="00A92FDB"/>
  </w:style>
  <w:style w:type="character" w:customStyle="1" w:styleId="a3">
    <w:name w:val="Подпись к таблице"/>
    <w:qFormat/>
    <w:rsid w:val="00A92FDB"/>
    <w:rPr>
      <w:rFonts w:ascii="Times New Roman" w:hAnsi="Times New Roman"/>
      <w:sz w:val="12"/>
    </w:rPr>
  </w:style>
  <w:style w:type="character" w:customStyle="1" w:styleId="510">
    <w:name w:val="Заголовок 51"/>
    <w:qFormat/>
    <w:rsid w:val="00A92FDB"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sid w:val="00A92FDB"/>
    <w:rPr>
      <w:rFonts w:ascii="XO Thames" w:hAnsi="XO Thames"/>
      <w:b/>
      <w:sz w:val="32"/>
    </w:rPr>
  </w:style>
  <w:style w:type="character" w:customStyle="1" w:styleId="-">
    <w:name w:val="Интернет-ссылка"/>
    <w:rsid w:val="00A92FDB"/>
    <w:rPr>
      <w:color w:val="0000FF"/>
      <w:u w:val="single"/>
    </w:rPr>
  </w:style>
  <w:style w:type="character" w:customStyle="1" w:styleId="Footnote">
    <w:name w:val="Footnote"/>
    <w:qFormat/>
    <w:rsid w:val="00A92FDB"/>
    <w:rPr>
      <w:rFonts w:ascii="XO Thames" w:hAnsi="XO Thames"/>
      <w:sz w:val="22"/>
    </w:rPr>
  </w:style>
  <w:style w:type="character" w:customStyle="1" w:styleId="Contents1">
    <w:name w:val="Contents 1"/>
    <w:qFormat/>
    <w:rsid w:val="00A92FDB"/>
    <w:rPr>
      <w:rFonts w:ascii="XO Thames" w:hAnsi="XO Thames"/>
      <w:b/>
    </w:rPr>
  </w:style>
  <w:style w:type="character" w:customStyle="1" w:styleId="HeaderandFooter">
    <w:name w:val="Header and Footer"/>
    <w:qFormat/>
    <w:rsid w:val="00A92FDB"/>
    <w:rPr>
      <w:rFonts w:ascii="XO Thames" w:hAnsi="XO Thames"/>
      <w:sz w:val="20"/>
    </w:rPr>
  </w:style>
  <w:style w:type="character" w:customStyle="1" w:styleId="Contents9">
    <w:name w:val="Contents 9"/>
    <w:qFormat/>
    <w:rsid w:val="00A92FDB"/>
  </w:style>
  <w:style w:type="character" w:customStyle="1" w:styleId="Contents8">
    <w:name w:val="Contents 8"/>
    <w:qFormat/>
    <w:rsid w:val="00A92FDB"/>
  </w:style>
  <w:style w:type="character" w:customStyle="1" w:styleId="a4">
    <w:name w:val="Другое"/>
    <w:qFormat/>
    <w:rsid w:val="00A92FDB"/>
    <w:rPr>
      <w:rFonts w:ascii="Times New Roman" w:hAnsi="Times New Roman"/>
      <w:sz w:val="12"/>
    </w:rPr>
  </w:style>
  <w:style w:type="character" w:customStyle="1" w:styleId="Contents5">
    <w:name w:val="Contents 5"/>
    <w:qFormat/>
    <w:rsid w:val="00A92FDB"/>
  </w:style>
  <w:style w:type="character" w:customStyle="1" w:styleId="1">
    <w:name w:val="Подзаголовок1"/>
    <w:qFormat/>
    <w:rsid w:val="00A92FDB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A92FDB"/>
  </w:style>
  <w:style w:type="character" w:customStyle="1" w:styleId="10">
    <w:name w:val="Заголовок1"/>
    <w:qFormat/>
    <w:rsid w:val="00A92FDB"/>
    <w:rPr>
      <w:rFonts w:ascii="XO Thames" w:hAnsi="XO Thames"/>
      <w:b/>
      <w:sz w:val="52"/>
    </w:rPr>
  </w:style>
  <w:style w:type="character" w:customStyle="1" w:styleId="410">
    <w:name w:val="Заголовок 41"/>
    <w:qFormat/>
    <w:rsid w:val="00A92FDB"/>
    <w:rPr>
      <w:rFonts w:ascii="XO Thames" w:hAnsi="XO Thames"/>
      <w:b/>
      <w:color w:val="595959"/>
      <w:sz w:val="26"/>
    </w:rPr>
  </w:style>
  <w:style w:type="character" w:customStyle="1" w:styleId="210">
    <w:name w:val="Заголовок 21"/>
    <w:qFormat/>
    <w:rsid w:val="00A92FDB"/>
    <w:rPr>
      <w:rFonts w:ascii="XO Thames" w:hAnsi="XO Thames"/>
      <w:b/>
      <w:color w:val="00A0FF"/>
      <w:sz w:val="26"/>
    </w:rPr>
  </w:style>
  <w:style w:type="paragraph" w:customStyle="1" w:styleId="a5">
    <w:name w:val="Заголовок"/>
    <w:basedOn w:val="a"/>
    <w:next w:val="a6"/>
    <w:qFormat/>
    <w:rsid w:val="00A92FD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A92FDB"/>
    <w:pPr>
      <w:spacing w:after="140" w:line="276" w:lineRule="auto"/>
    </w:pPr>
  </w:style>
  <w:style w:type="paragraph" w:styleId="a7">
    <w:name w:val="List"/>
    <w:basedOn w:val="a6"/>
    <w:rsid w:val="00A92FDB"/>
  </w:style>
  <w:style w:type="paragraph" w:customStyle="1" w:styleId="12">
    <w:name w:val="Название объекта1"/>
    <w:basedOn w:val="a"/>
    <w:qFormat/>
    <w:rsid w:val="00A92FDB"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rsid w:val="00A92FDB"/>
    <w:pPr>
      <w:suppressLineNumbers/>
    </w:pPr>
  </w:style>
  <w:style w:type="paragraph" w:styleId="a9">
    <w:name w:val="Title"/>
    <w:basedOn w:val="a"/>
    <w:uiPriority w:val="10"/>
    <w:qFormat/>
    <w:rsid w:val="00A92FDB"/>
    <w:rPr>
      <w:rFonts w:ascii="XO Thames" w:hAnsi="XO Thames"/>
      <w:b/>
      <w:sz w:val="52"/>
    </w:rPr>
  </w:style>
  <w:style w:type="paragraph" w:styleId="aa">
    <w:name w:val="caption"/>
    <w:basedOn w:val="a"/>
    <w:qFormat/>
    <w:rsid w:val="00A92FDB"/>
    <w:pPr>
      <w:suppressLineNumbers/>
      <w:spacing w:before="120" w:after="120"/>
    </w:pPr>
    <w:rPr>
      <w:i/>
      <w:iCs/>
      <w:szCs w:val="24"/>
    </w:rPr>
  </w:style>
  <w:style w:type="paragraph" w:customStyle="1" w:styleId="20">
    <w:name w:val="Колонтитул (2)"/>
    <w:basedOn w:val="a"/>
    <w:qFormat/>
    <w:rsid w:val="00A92FDB"/>
    <w:rPr>
      <w:rFonts w:ascii="Times New Roman" w:hAnsi="Times New Roman"/>
      <w:sz w:val="20"/>
    </w:rPr>
  </w:style>
  <w:style w:type="paragraph" w:customStyle="1" w:styleId="211">
    <w:name w:val="Оглавление 21"/>
    <w:basedOn w:val="a"/>
    <w:rsid w:val="00A92FDB"/>
    <w:pPr>
      <w:ind w:left="200"/>
    </w:pPr>
  </w:style>
  <w:style w:type="paragraph" w:customStyle="1" w:styleId="411">
    <w:name w:val="Оглавление 41"/>
    <w:basedOn w:val="a"/>
    <w:rsid w:val="00A92FDB"/>
    <w:pPr>
      <w:ind w:left="600"/>
    </w:pPr>
  </w:style>
  <w:style w:type="paragraph" w:customStyle="1" w:styleId="61">
    <w:name w:val="Оглавление 61"/>
    <w:basedOn w:val="a"/>
    <w:rsid w:val="00A92FDB"/>
    <w:pPr>
      <w:ind w:left="1000"/>
    </w:pPr>
  </w:style>
  <w:style w:type="paragraph" w:customStyle="1" w:styleId="13">
    <w:name w:val="Основной шрифт абзаца1"/>
    <w:qFormat/>
    <w:rsid w:val="00A92FDB"/>
    <w:pPr>
      <w:widowControl w:val="0"/>
    </w:pPr>
    <w:rPr>
      <w:sz w:val="24"/>
    </w:rPr>
  </w:style>
  <w:style w:type="paragraph" w:customStyle="1" w:styleId="71">
    <w:name w:val="Оглавление 71"/>
    <w:basedOn w:val="a"/>
    <w:rsid w:val="00A92FDB"/>
    <w:pPr>
      <w:ind w:left="1200"/>
    </w:pPr>
  </w:style>
  <w:style w:type="paragraph" w:customStyle="1" w:styleId="311">
    <w:name w:val="Оглавление 31"/>
    <w:basedOn w:val="a"/>
    <w:rsid w:val="00A92FDB"/>
    <w:pPr>
      <w:ind w:left="400"/>
    </w:pPr>
  </w:style>
  <w:style w:type="paragraph" w:customStyle="1" w:styleId="ab">
    <w:name w:val="Подпись к таблице"/>
    <w:basedOn w:val="a"/>
    <w:qFormat/>
    <w:rsid w:val="00A92FDB"/>
    <w:rPr>
      <w:rFonts w:ascii="Times New Roman" w:hAnsi="Times New Roman"/>
      <w:sz w:val="12"/>
    </w:rPr>
  </w:style>
  <w:style w:type="paragraph" w:customStyle="1" w:styleId="Internetlink">
    <w:name w:val="Internet link"/>
    <w:qFormat/>
    <w:rsid w:val="00A92FDB"/>
    <w:pPr>
      <w:widowControl w:val="0"/>
    </w:pPr>
    <w:rPr>
      <w:color w:val="0000FF"/>
      <w:sz w:val="24"/>
      <w:u w:val="single"/>
    </w:rPr>
  </w:style>
  <w:style w:type="paragraph" w:customStyle="1" w:styleId="Footnote0">
    <w:name w:val="Footnote"/>
    <w:qFormat/>
    <w:rsid w:val="00A92FDB"/>
    <w:pPr>
      <w:widowControl w:val="0"/>
    </w:pPr>
    <w:rPr>
      <w:rFonts w:ascii="XO Thames" w:hAnsi="XO Thames"/>
      <w:sz w:val="22"/>
    </w:rPr>
  </w:style>
  <w:style w:type="paragraph" w:customStyle="1" w:styleId="111">
    <w:name w:val="Оглавление 11"/>
    <w:basedOn w:val="a"/>
    <w:rsid w:val="00A92FDB"/>
    <w:rPr>
      <w:rFonts w:ascii="XO Thames" w:hAnsi="XO Thames"/>
      <w:b/>
    </w:rPr>
  </w:style>
  <w:style w:type="paragraph" w:customStyle="1" w:styleId="ac">
    <w:name w:val="Верхний и нижний колонтитулы"/>
    <w:qFormat/>
    <w:rsid w:val="00A92FDB"/>
    <w:pPr>
      <w:widowControl w:val="0"/>
      <w:spacing w:line="360" w:lineRule="auto"/>
    </w:pPr>
    <w:rPr>
      <w:rFonts w:ascii="XO Thames" w:hAnsi="XO Thames"/>
      <w:sz w:val="24"/>
    </w:rPr>
  </w:style>
  <w:style w:type="paragraph" w:customStyle="1" w:styleId="91">
    <w:name w:val="Оглавление 91"/>
    <w:basedOn w:val="a"/>
    <w:rsid w:val="00A92FDB"/>
    <w:pPr>
      <w:ind w:left="1600"/>
    </w:pPr>
  </w:style>
  <w:style w:type="paragraph" w:customStyle="1" w:styleId="81">
    <w:name w:val="Оглавление 81"/>
    <w:basedOn w:val="a"/>
    <w:rsid w:val="00A92FDB"/>
    <w:pPr>
      <w:ind w:left="1400"/>
    </w:pPr>
  </w:style>
  <w:style w:type="paragraph" w:customStyle="1" w:styleId="ad">
    <w:name w:val="Другое"/>
    <w:basedOn w:val="a"/>
    <w:qFormat/>
    <w:rsid w:val="00A92FDB"/>
    <w:pPr>
      <w:spacing w:line="252" w:lineRule="auto"/>
    </w:pPr>
    <w:rPr>
      <w:rFonts w:ascii="Times New Roman" w:hAnsi="Times New Roman"/>
      <w:sz w:val="12"/>
    </w:rPr>
  </w:style>
  <w:style w:type="paragraph" w:customStyle="1" w:styleId="511">
    <w:name w:val="Оглавление 51"/>
    <w:basedOn w:val="a"/>
    <w:rsid w:val="00A92FDB"/>
    <w:pPr>
      <w:ind w:left="800"/>
    </w:pPr>
  </w:style>
  <w:style w:type="paragraph" w:styleId="ae">
    <w:name w:val="Subtitle"/>
    <w:basedOn w:val="a"/>
    <w:uiPriority w:val="11"/>
    <w:qFormat/>
    <w:rsid w:val="00A92FDB"/>
    <w:rPr>
      <w:rFonts w:ascii="XO Thames" w:hAnsi="XO Thames"/>
      <w:i/>
      <w:color w:val="616161"/>
    </w:rPr>
  </w:style>
  <w:style w:type="paragraph" w:customStyle="1" w:styleId="toc100">
    <w:name w:val="toc 10"/>
    <w:qFormat/>
    <w:rsid w:val="00A92FDB"/>
    <w:pPr>
      <w:widowControl w:val="0"/>
      <w:ind w:left="1800"/>
    </w:pPr>
    <w:rPr>
      <w:sz w:val="24"/>
    </w:rPr>
  </w:style>
  <w:style w:type="paragraph" w:customStyle="1" w:styleId="14">
    <w:name w:val="Верхний колонтитул1"/>
    <w:basedOn w:val="ac"/>
    <w:rsid w:val="00A92FDB"/>
  </w:style>
  <w:style w:type="paragraph" w:customStyle="1" w:styleId="af">
    <w:name w:val="Содержимое таблицы"/>
    <w:basedOn w:val="a"/>
    <w:qFormat/>
    <w:rsid w:val="00A92FDB"/>
    <w:pPr>
      <w:suppressLineNumbers/>
    </w:pPr>
  </w:style>
  <w:style w:type="paragraph" w:customStyle="1" w:styleId="af0">
    <w:name w:val="Заголовок таблицы"/>
    <w:basedOn w:val="af"/>
    <w:qFormat/>
    <w:rsid w:val="00A92FDB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53093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09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39</cp:revision>
  <cp:lastPrinted>2020-01-17T08:50:00Z</cp:lastPrinted>
  <dcterms:created xsi:type="dcterms:W3CDTF">2019-11-12T06:35:00Z</dcterms:created>
  <dcterms:modified xsi:type="dcterms:W3CDTF">2020-01-20T08:11:00Z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