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2850515</wp:posOffset>
            </wp:positionH>
            <wp:positionV relativeFrom="paragraph">
              <wp:posOffset>80010</wp:posOffset>
            </wp:positionV>
            <wp:extent cx="420370" cy="52578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835" w:leader="none"/>
        </w:tabs>
        <w:ind w:hanging="0" w:left="-567"/>
        <w:jc w:val="right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/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САНДОВСКОГО МУНИЦИПАЛЬНОГО ОКРУГА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Тверская область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ПОСТАНОВЛЕНИЕ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hanging="0"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2</w:t>
      </w:r>
      <w:r>
        <w:rPr>
          <w:rFonts w:cs="Times New Roman" w:ascii="Times New Roman" w:hAnsi="Times New Roman"/>
          <w:sz w:val="28"/>
          <w:szCs w:val="28"/>
          <w:lang w:eastAsia="en-US"/>
        </w:rPr>
        <w:t>2</w:t>
      </w:r>
      <w:r>
        <w:rPr>
          <w:rFonts w:cs="Times New Roman" w:ascii="Times New Roman" w:hAnsi="Times New Roman"/>
          <w:sz w:val="28"/>
          <w:szCs w:val="28"/>
          <w:lang w:eastAsia="en-US"/>
        </w:rPr>
        <w:t>.08.202</w:t>
      </w:r>
      <w:r>
        <w:rPr>
          <w:rFonts w:cs="Times New Roman" w:ascii="Times New Roman" w:hAnsi="Times New Roman"/>
          <w:sz w:val="28"/>
          <w:szCs w:val="28"/>
          <w:lang w:eastAsia="en-US"/>
        </w:rPr>
        <w:t>3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                                          п. Сандово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eastAsia="en-US"/>
        </w:rPr>
        <w:t>187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Об организации специальных (школьных) 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8"/>
          <w:szCs w:val="28"/>
        </w:rPr>
        <w:t>перевозок обучающихся муниципальных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8"/>
          <w:szCs w:val="28"/>
        </w:rPr>
        <w:t>бюджетных общеобразовательных учреждений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Сандовского муниципального округа Тверской 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8"/>
          <w:szCs w:val="28"/>
        </w:rPr>
        <w:t>области в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учебном году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На основании Положения об организации специальных (школьных) перевозок учащихся общеобразовательных учреждений Сандовского муниципального округа Тверской области, актов по обследованию автодорог с автобусными маршрутами и школьными перевозками от </w:t>
      </w:r>
      <w:r>
        <w:rPr>
          <w:rFonts w:cs="Times New Roman" w:ascii="Times New Roman" w:hAnsi="Times New Roman"/>
          <w:sz w:val="28"/>
          <w:szCs w:val="28"/>
        </w:rPr>
        <w:t>15</w:t>
      </w:r>
      <w:r>
        <w:rPr>
          <w:rFonts w:cs="Times New Roman" w:ascii="Times New Roman" w:hAnsi="Times New Roman"/>
          <w:sz w:val="28"/>
          <w:szCs w:val="28"/>
        </w:rPr>
        <w:t xml:space="preserve"> августа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 и в целях осуществления образовательной деятельности в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учебном году, Администрация Сандовского муниципального округа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1.Открыть с 01 сентября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 школьные маршруты по направлениям: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Сандово- Щербово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Сандово-Александровское-Нивицы-Сушигорицы-Сулоиха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Сандово-Тухани-Вокшино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Сандово-Топорово-Березье-Веригино-Старое Сандово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Сандово-Пнево-Большое Малинское-Топалки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Сандово-Кресты–Ладожское-Путилово Зарека — Перфильево-Лукино.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2.Отделу образования Администрации Сандовского муниципального округа (О.В.Кудряшовой) обеспечить контроль: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-за исполнением муниципальных контрактов между руководителями муниципальных бюджетных общеобразовательных учреждений (</w:t>
      </w:r>
      <w:r>
        <w:rPr>
          <w:rFonts w:cs="Times New Roman" w:ascii="Times New Roman" w:hAnsi="Times New Roman"/>
          <w:sz w:val="28"/>
          <w:szCs w:val="28"/>
        </w:rPr>
        <w:t xml:space="preserve">МБОУ Сандовская СОШ, </w:t>
      </w:r>
      <w:r>
        <w:rPr>
          <w:rFonts w:cs="Times New Roman" w:ascii="Times New Roman" w:hAnsi="Times New Roman"/>
          <w:sz w:val="28"/>
          <w:szCs w:val="28"/>
        </w:rPr>
        <w:t>МБОУ Большемалинская ООШ, МБОУ Старо-Сандовская ООШ и МБОУ Лукинская ООШ) и ООО «Сандовское АТП», осуществляющим организованный подвоз обучающихся, проживающих в сельской местности к месту учёбы и обратно;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-за безопасностью перевозок обучающихся в муниципальные бюджетные общеобразовательные учреждения и обратно, а также при организации туристско-экскурсионных, спортивных, культурно - массовых и иных мероприятий.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3.Руководителям муниципальных бюджетных общеобразовательных учреждений (О.В. Смирнова, А.В. Шилов, О.Б Ефремова, С. А. Иванова):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-составить списки обучающихся, проживающих в сельской местности и нуждающихся в подвозе к месту учёбы и обратно;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-обеспечить перевозку обучающихся в сопровождении лиц, ответственных за сопровождение в школьных автобусах;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-проводить инструктаж обучающихся по правилам безопасности при поездках в школьных автобусах с регистрацией в специальных журналах.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4.Рекомендовать ООО «Сандовское АТП» (В.В.Комкова) осуществлять постоянный контроль за: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-передвижением школьных автобусов через спутниковую систему «ГЛОНАСС» согласно утвержденным  графикам движения;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-техническим состоянием школьных автобусов;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-проведением предрейсовых и послерейсовых медицинских осмотров водителей;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-режимом труда и отдыха водителей;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-обеспечением стоянки и охраны школьных автобусов.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5.Контроль за исполнением данного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6.Настоящее постановление вступает в силу с момента его подписания и подлежит размещению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200"/>
        <w:jc w:val="left"/>
        <w:rPr/>
      </w:pPr>
      <w:r>
        <w:rPr/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Сандовского муниципального округа                                     О.Н.Грязнов</w:t>
      </w:r>
    </w:p>
    <w:sectPr>
      <w:type w:val="nextPage"/>
      <w:pgSz w:w="11906" w:h="16838"/>
      <w:pgMar w:left="1110" w:right="850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4d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LibreOffice/7.6.0.3$Windows_x86 LibreOffice_project/69edd8b8ebc41d00b4de3915dc82f8f0fc3b6265</Application>
  <AppVersion>15.0000</AppVersion>
  <Pages>2</Pages>
  <Words>314</Words>
  <Characters>2649</Characters>
  <CharactersWithSpaces>3079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2017-08-30T09:27:00Z</dcterms:created>
  <dc:creator>User</dc:creator>
  <dc:description/>
  <dc:language>ru-RU</dc:language>
  <cp:lastModifiedBy/>
  <cp:lastPrinted>2022-08-23T15:51:29Z</cp:lastPrinted>
  <dcterms:modified xsi:type="dcterms:W3CDTF">2023-08-22T16:07:44Z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