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200"/>
        <w:jc w:val="right"/>
        <w:rPr>
          <w:rFonts w:eastAsia="Calibri"/>
          <w:b/>
          <w:b/>
          <w:i/>
          <w:i/>
        </w:rPr>
      </w:pPr>
      <w:r>
        <w:drawing>
          <wp:anchor behindDoc="0" distT="0" distB="127000" distL="0" distR="0" simplePos="0" locked="0" layoutInCell="0" allowOverlap="1" relativeHeight="6">
            <wp:simplePos x="0" y="0"/>
            <wp:positionH relativeFrom="column">
              <wp:posOffset>2823845</wp:posOffset>
            </wp:positionH>
            <wp:positionV relativeFrom="paragraph">
              <wp:posOffset>-67945</wp:posOffset>
            </wp:positionV>
            <wp:extent cx="609600" cy="6032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/>
        </w:rPr>
        <w:t xml:space="preserve">                                                                                                                                 </w:t>
      </w:r>
    </w:p>
    <w:p>
      <w:pPr>
        <w:pStyle w:val="Normal"/>
        <w:widowControl/>
        <w:bidi w:val="0"/>
        <w:spacing w:lineRule="auto" w:line="264" w:before="0" w:after="203"/>
        <w:ind w:left="0" w:right="57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240" w:before="0" w:after="0"/>
        <w:ind w:left="0" w:right="57" w:hanging="0"/>
        <w:jc w:val="left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Style24"/>
        <w:rPr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>
      <w:pPr>
        <w:pStyle w:val="Style24"/>
        <w:rPr>
          <w:sz w:val="40"/>
          <w:szCs w:val="40"/>
        </w:rPr>
      </w:pPr>
      <w:r>
        <w:rPr>
          <w:b/>
          <w:bCs/>
          <w:sz w:val="40"/>
          <w:szCs w:val="40"/>
        </w:rPr>
        <w:t>САНДОВСКОГО МУНИЦИПАЛЬНОГО ОКРУГА</w:t>
      </w:r>
    </w:p>
    <w:p>
      <w:pPr>
        <w:pStyle w:val="Style24"/>
        <w:rPr>
          <w:sz w:val="28"/>
          <w:szCs w:val="28"/>
        </w:rPr>
      </w:pPr>
      <w:r>
        <w:rPr>
          <w:sz w:val="28"/>
          <w:szCs w:val="28"/>
        </w:rPr>
        <w:t>Тверская область</w:t>
      </w:r>
    </w:p>
    <w:p>
      <w:pPr>
        <w:pStyle w:val="Style24"/>
        <w:rPr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>
      <w:pPr>
        <w:pStyle w:val="Style24"/>
        <w:ind w:left="0" w:right="180" w:hanging="0"/>
        <w:jc w:val="left"/>
        <w:rPr>
          <w:sz w:val="28"/>
          <w:szCs w:val="28"/>
        </w:rPr>
      </w:pPr>
      <w:r>
        <w:rPr>
          <w:sz w:val="28"/>
          <w:szCs w:val="28"/>
        </w:rPr>
        <w:t>30.12.2021                                            п. Сандово                                           № 350-Р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1"/>
        <w:ind w:left="0" w:right="557" w:hanging="10"/>
        <w:jc w:val="left"/>
        <w:rPr>
          <w:sz w:val="26"/>
          <w:szCs w:val="26"/>
        </w:rPr>
      </w:pPr>
      <w:r>
        <w:rPr>
          <w:b w:val="false"/>
          <w:sz w:val="26"/>
          <w:szCs w:val="26"/>
        </w:rPr>
        <w:t xml:space="preserve">Об утверждении ключевых показателей </w:t>
      </w:r>
    </w:p>
    <w:p>
      <w:pPr>
        <w:pStyle w:val="1"/>
        <w:ind w:left="0" w:right="557" w:hanging="10"/>
        <w:jc w:val="left"/>
        <w:rPr>
          <w:sz w:val="26"/>
          <w:szCs w:val="26"/>
        </w:rPr>
      </w:pPr>
      <w:r>
        <w:rPr>
          <w:b w:val="false"/>
          <w:sz w:val="26"/>
          <w:szCs w:val="26"/>
        </w:rPr>
        <w:t xml:space="preserve">эффективности функционирования </w:t>
      </w:r>
    </w:p>
    <w:p>
      <w:pPr>
        <w:pStyle w:val="1"/>
        <w:ind w:left="0" w:right="557" w:hanging="10"/>
        <w:jc w:val="left"/>
        <w:rPr>
          <w:sz w:val="26"/>
          <w:szCs w:val="26"/>
        </w:rPr>
      </w:pPr>
      <w:r>
        <w:rPr>
          <w:b w:val="false"/>
          <w:sz w:val="26"/>
          <w:szCs w:val="26"/>
        </w:rPr>
        <w:t xml:space="preserve">антимонопольного комплаенса, методики </w:t>
      </w:r>
    </w:p>
    <w:p>
      <w:pPr>
        <w:pStyle w:val="1"/>
        <w:ind w:left="0" w:right="557" w:hanging="10"/>
        <w:jc w:val="left"/>
        <w:rPr>
          <w:sz w:val="26"/>
          <w:szCs w:val="26"/>
        </w:rPr>
      </w:pPr>
      <w:r>
        <w:rPr>
          <w:b w:val="false"/>
          <w:sz w:val="26"/>
          <w:szCs w:val="26"/>
        </w:rPr>
        <w:t xml:space="preserve">их расчета и разъяснений в части оценки их значений  </w:t>
      </w:r>
    </w:p>
    <w:p>
      <w:pPr>
        <w:pStyle w:val="Normal"/>
        <w:spacing w:lineRule="auto" w:line="259" w:before="0" w:after="0"/>
        <w:ind w:left="15" w:right="0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15" w:right="0" w:hanging="0"/>
        <w:jc w:val="center"/>
        <w:rPr/>
      </w:pPr>
      <w:r>
        <w:rPr>
          <w:b/>
        </w:rPr>
        <w:t xml:space="preserve"> </w:t>
      </w:r>
    </w:p>
    <w:p>
      <w:pPr>
        <w:pStyle w:val="Normal"/>
        <w:ind w:left="-15" w:right="44" w:firstLine="582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Указом Президента Российской Федерации от 21 декабря 2017 г. № 618 «Об основных направлениях государственной политики по развитию конкуренции», распоряжения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</w:t>
      </w:r>
      <w:bookmarkStart w:id="0" w:name="_GoBack"/>
      <w:bookmarkEnd w:id="0"/>
      <w:r>
        <w:rPr>
          <w:sz w:val="24"/>
          <w:szCs w:val="24"/>
        </w:rPr>
        <w:t>и в целях исполнения Постановления Администрации Сандовского муниципального округа Тверской области от 30.12.2021 г. № 387 «</w:t>
      </w:r>
      <w:r>
        <w:rPr>
          <w:rFonts w:eastAsia="Calibri"/>
          <w:sz w:val="24"/>
          <w:szCs w:val="24"/>
          <w:lang w:eastAsia="en-US"/>
        </w:rPr>
        <w:t>Об организации в Администрации Сандовского муниципального округа Тверской области и её структурных подразделениях системы внутреннего обеспечения соответствия требованиям антимонопольного законодательства (антимонопольный комплаенс)</w:t>
      </w:r>
      <w:r>
        <w:rPr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spacing w:lineRule="atLeast" w:line="0"/>
        <w:ind w:left="0" w:right="44" w:hanging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1.Утвердить ключевые показатели эффективности антимонопольного комплаенса для Администрации </w:t>
      </w:r>
      <w:r>
        <w:rPr>
          <w:rFonts w:eastAsia="Calibri"/>
          <w:sz w:val="24"/>
          <w:szCs w:val="24"/>
          <w:lang w:eastAsia="en-US"/>
        </w:rPr>
        <w:t>Сандовского муниципального округа Тверской области</w:t>
      </w:r>
      <w:r>
        <w:rPr>
          <w:sz w:val="24"/>
          <w:szCs w:val="24"/>
        </w:rPr>
        <w:t xml:space="preserve">  (далее – Администрации) в целом и ключевой показатель эффективности антимонопольного комплаенса для уполномоченного подразделения (должностного лица) Администрации (приложение №1). </w:t>
      </w:r>
    </w:p>
    <w:p>
      <w:pPr>
        <w:pStyle w:val="Normal"/>
        <w:numPr>
          <w:ilvl w:val="0"/>
          <w:numId w:val="0"/>
        </w:numPr>
        <w:spacing w:lineRule="atLeast" w:line="0" w:before="0" w:after="12"/>
        <w:ind w:left="0" w:right="44" w:hanging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2.Утвердить методику расчета ключевых показателей эффективности антимонопольного комплаенса для Администрации в целом и методику расчета ключевого показателя эффективности антимонопольного комплаенса для уполномоченного подразделения (должностного лица) Администрации (приложение № 2). </w:t>
      </w:r>
    </w:p>
    <w:p>
      <w:pPr>
        <w:pStyle w:val="Normal"/>
        <w:numPr>
          <w:ilvl w:val="0"/>
          <w:numId w:val="0"/>
        </w:numPr>
        <w:spacing w:lineRule="atLeast" w:line="0" w:before="0" w:after="12"/>
        <w:ind w:left="0" w:right="4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851" w:leader="none"/>
        </w:tabs>
        <w:spacing w:before="0" w:after="12"/>
        <w:ind w:left="0" w:right="44" w:hanging="0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>3.Контроль за выполнением настоящего распоряжения</w:t>
      </w:r>
      <w:r>
        <w:rPr>
          <w:sz w:val="24"/>
          <w:szCs w:val="24"/>
        </w:rPr>
        <w:t xml:space="preserve"> возложить на заместителя Главы Администрации Сандовского муниципального округа Т.А.Кузнецову.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851" w:leader="none"/>
        </w:tabs>
        <w:spacing w:before="0" w:after="12"/>
        <w:ind w:left="0" w:right="44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before="0" w:after="3"/>
        <w:ind w:left="0" w:right="4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4.Настоящее постановление  вступает в силу со дня его подписания и подлежит размещению на официальном сайте Сандовского муниципального округа Тверской области  в информационно-телекоммуникационной сети «Интернет».</w:t>
      </w:r>
    </w:p>
    <w:p>
      <w:pPr>
        <w:pStyle w:val="Normal"/>
        <w:spacing w:lineRule="auto" w:line="259" w:before="0" w:after="21"/>
        <w:ind w:left="720" w:right="0"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center" w:pos="2649" w:leader="none"/>
          <w:tab w:val="center" w:pos="4957" w:leader="none"/>
          <w:tab w:val="center" w:pos="5665" w:leader="none"/>
          <w:tab w:val="center" w:pos="6373" w:leader="none"/>
          <w:tab w:val="right" w:pos="9412" w:leader="none"/>
        </w:tabs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tabs>
          <w:tab w:val="clear" w:pos="708"/>
          <w:tab w:val="center" w:pos="2649" w:leader="none"/>
          <w:tab w:val="center" w:pos="4957" w:leader="none"/>
          <w:tab w:val="center" w:pos="5665" w:leader="none"/>
          <w:tab w:val="center" w:pos="6373" w:leader="none"/>
          <w:tab w:val="right" w:pos="9412" w:leader="none"/>
        </w:tabs>
        <w:spacing w:before="0" w:after="0"/>
        <w:ind w:left="0" w:right="0" w:hanging="0"/>
        <w:jc w:val="left"/>
        <w:rPr/>
      </w:pPr>
      <w:r>
        <w:rPr/>
        <w:t xml:space="preserve">Глава Сандовского муниципального окурга </w:t>
        <w:tab/>
        <w:t xml:space="preserve"> </w:t>
        <w:tab/>
        <w:t xml:space="preserve"> </w:t>
        <w:tab/>
        <w:t xml:space="preserve">        О.Н.Грязнов </w:t>
      </w:r>
    </w:p>
    <w:p>
      <w:pPr>
        <w:pStyle w:val="Normal"/>
        <w:spacing w:lineRule="auto" w:line="259" w:before="0" w:after="216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59" w:before="0" w:after="216"/>
        <w:ind w:left="0" w:right="0" w:hanging="0"/>
        <w:jc w:val="left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0" distT="635" distB="0" distL="635" distR="0" simplePos="0" locked="0" layoutInCell="0" allowOverlap="1" relativeHeight="7">
                <wp:simplePos x="0" y="0"/>
                <wp:positionH relativeFrom="column">
                  <wp:posOffset>2751455</wp:posOffset>
                </wp:positionH>
                <wp:positionV relativeFrom="paragraph">
                  <wp:posOffset>-104775</wp:posOffset>
                </wp:positionV>
                <wp:extent cx="3521075" cy="885825"/>
                <wp:effectExtent l="635" t="635" r="0" b="0"/>
                <wp:wrapNone/>
                <wp:docPr id="2" name="Пол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160" cy="88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lineRule="auto" w:line="240" w:before="0" w:after="0"/>
                              <w:ind w:left="11" w:right="0" w:hanging="11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Приложение №1</w:t>
                            </w:r>
                          </w:p>
                          <w:p>
                            <w:pPr>
                              <w:pStyle w:val="Style28"/>
                              <w:spacing w:lineRule="auto" w:line="240" w:before="0" w:after="0"/>
                              <w:ind w:left="11" w:right="0" w:hanging="11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к Распоряжению Администрации Сандовского муниципального округа  от 30.12.2021 г № 350-Р</w:t>
                            </w:r>
                          </w:p>
                          <w:p>
                            <w:pPr>
                              <w:pStyle w:val="Style28"/>
                              <w:ind w:left="0" w:right="56" w:hanging="1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8"/>
                              <w:ind w:left="0" w:right="56" w:hanging="1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8"/>
                              <w:ind w:left="0" w:right="56" w:hanging="1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8"/>
                              <w:ind w:left="0" w:right="56" w:hanging="1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8"/>
                              <w:spacing w:before="0" w:after="203"/>
                              <w:ind w:left="0" w:right="56" w:hanging="1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" path="m0,0l-2147483645,0l-2147483645,-2147483646l0,-2147483646xe" fillcolor="white" stroked="f" o:allowincell="f" style="position:absolute;margin-left:216.65pt;margin-top:-8.25pt;width:277.2pt;height:69.7pt;mso-wrap-style:square;v-text-anchor:top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8"/>
                        <w:spacing w:lineRule="auto" w:line="240" w:before="0" w:after="0"/>
                        <w:ind w:left="11" w:right="0" w:hanging="11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Приложение №1</w:t>
                      </w:r>
                    </w:p>
                    <w:p>
                      <w:pPr>
                        <w:pStyle w:val="Style28"/>
                        <w:spacing w:lineRule="auto" w:line="240" w:before="0" w:after="0"/>
                        <w:ind w:left="11" w:right="0" w:hanging="11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к Распоряжению Администрации Сандовского муниципального округа  от 30.12.2021 г № 350-Р</w:t>
                      </w:r>
                    </w:p>
                    <w:p>
                      <w:pPr>
                        <w:pStyle w:val="Style28"/>
                        <w:ind w:left="0" w:right="56" w:hanging="1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8"/>
                        <w:ind w:left="0" w:right="56" w:hanging="1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8"/>
                        <w:ind w:left="0" w:right="56" w:hanging="1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8"/>
                        <w:ind w:left="0" w:right="56" w:hanging="1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8"/>
                        <w:spacing w:before="0" w:after="203"/>
                        <w:ind w:left="0" w:right="56" w:hanging="1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59" w:before="0" w:after="218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7" w:before="0" w:after="91"/>
        <w:ind w:left="794" w:right="0" w:hanging="576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47" w:before="0" w:after="91"/>
        <w:ind w:left="0" w:right="0" w:hanging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Ключевые показатели эффективности антимонопольного комплаенса для Администрации Сандовского муниципального округа Тверской области в целом</w:t>
      </w:r>
    </w:p>
    <w:p>
      <w:pPr>
        <w:pStyle w:val="Normal"/>
        <w:spacing w:lineRule="auto" w:line="259" w:before="0" w:after="217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numPr>
          <w:ilvl w:val="0"/>
          <w:numId w:val="0"/>
        </w:numPr>
        <w:ind w:left="10" w:right="44" w:hanging="0"/>
        <w:rPr/>
      </w:pPr>
      <w:r>
        <w:rPr>
          <w:sz w:val="26"/>
          <w:szCs w:val="26"/>
        </w:rPr>
        <w:t xml:space="preserve">1.  Коэффициент снижения количества нарушений </w:t>
      </w:r>
      <w:hyperlink r:id="rId3">
        <w:r>
          <w:rPr>
            <w:sz w:val="26"/>
            <w:szCs w:val="26"/>
          </w:rPr>
          <w:t xml:space="preserve">антимонопольного </w:t>
        </w:r>
      </w:hyperlink>
      <w:hyperlink r:id="rId4">
        <w:r>
          <w:rPr>
            <w:sz w:val="26"/>
            <w:szCs w:val="26"/>
          </w:rPr>
          <w:t>законодательства</w:t>
        </w:r>
      </w:hyperlink>
      <w:hyperlink r:id="rId5">
        <w:r>
          <w:rPr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 xml:space="preserve">со стороны Администрации Сандовского муниципального округа Тверской области (далее – Администрация) по сравнению с предыдущим годом. </w:t>
      </w:r>
    </w:p>
    <w:p>
      <w:pPr>
        <w:pStyle w:val="Normal"/>
        <w:numPr>
          <w:ilvl w:val="0"/>
          <w:numId w:val="0"/>
        </w:numPr>
        <w:ind w:left="10" w:right="44" w:hanging="0"/>
        <w:rPr/>
      </w:pPr>
      <w:r>
        <w:rPr>
          <w:sz w:val="26"/>
          <w:szCs w:val="26"/>
        </w:rPr>
        <w:t xml:space="preserve">2.  Доля проектов нормативных правовых актов Администрации, в которых выявлены риски нарушения </w:t>
      </w:r>
      <w:hyperlink r:id="rId6">
        <w:r>
          <w:rPr>
            <w:sz w:val="26"/>
            <w:szCs w:val="26"/>
          </w:rPr>
          <w:t>антимонопольного законодательства</w:t>
        </w:r>
      </w:hyperlink>
      <w:hyperlink r:id="rId7">
        <w:r>
          <w:rPr>
            <w:sz w:val="26"/>
            <w:szCs w:val="26"/>
          </w:rPr>
          <w:t>.</w:t>
        </w:r>
      </w:hyperlink>
      <w:r>
        <w:rPr>
          <w:sz w:val="26"/>
          <w:szCs w:val="26"/>
        </w:rPr>
        <w:t xml:space="preserve"> </w:t>
      </w:r>
    </w:p>
    <w:p>
      <w:pPr>
        <w:pStyle w:val="Normal"/>
        <w:numPr>
          <w:ilvl w:val="0"/>
          <w:numId w:val="0"/>
        </w:numPr>
        <w:ind w:left="10" w:right="44" w:hanging="0"/>
        <w:rPr/>
      </w:pPr>
      <w:r>
        <w:rPr>
          <w:sz w:val="26"/>
          <w:szCs w:val="26"/>
        </w:rPr>
        <w:t xml:space="preserve">3.  Доля нормативных правовых актов Администрации, в которых выявлены риски нарушения </w:t>
      </w:r>
      <w:hyperlink r:id="rId8">
        <w:r>
          <w:rPr>
            <w:sz w:val="26"/>
            <w:szCs w:val="26"/>
          </w:rPr>
          <w:t>антимонопольного законодательства</w:t>
        </w:r>
      </w:hyperlink>
      <w:hyperlink r:id="rId9">
        <w:r>
          <w:rPr>
            <w:sz w:val="26"/>
            <w:szCs w:val="26"/>
          </w:rPr>
          <w:t>.</w:t>
        </w:r>
      </w:hyperlink>
      <w:r>
        <w:rPr>
          <w:sz w:val="26"/>
          <w:szCs w:val="26"/>
        </w:rPr>
        <w:t xml:space="preserve"> </w:t>
      </w:r>
    </w:p>
    <w:p>
      <w:pPr>
        <w:pStyle w:val="Normal"/>
        <w:spacing w:lineRule="auto" w:line="259" w:before="0" w:after="222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spacing w:lineRule="auto" w:line="247" w:before="0" w:after="225"/>
        <w:ind w:left="0" w:right="0" w:hanging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Ключевой показатель эффективности антимонопольного комплаенса для уполномоченного подразделения (должностного лица) Администрации</w:t>
      </w:r>
    </w:p>
    <w:p>
      <w:pPr>
        <w:pStyle w:val="ListParagraph"/>
        <w:numPr>
          <w:ilvl w:val="0"/>
          <w:numId w:val="0"/>
        </w:numPr>
        <w:ind w:left="0" w:right="44" w:hanging="0"/>
        <w:jc w:val="both"/>
        <w:rPr/>
      </w:pPr>
      <w:r>
        <w:rPr>
          <w:sz w:val="26"/>
          <w:szCs w:val="26"/>
        </w:rPr>
        <w:t>1. Доля сотрудников Администрации, в отношении которых были проведены обучающие мероприятия по антимонопольному законодательств</w:t>
      </w:r>
      <w:hyperlink r:id="rId10">
        <w:r>
          <w:rPr>
            <w:sz w:val="26"/>
            <w:szCs w:val="26"/>
          </w:rPr>
          <w:t>у</w:t>
        </w:r>
      </w:hyperlink>
      <w:hyperlink r:id="rId11">
        <w:r>
          <w:rPr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 xml:space="preserve">и антимонопольному комплаенсу. </w:t>
      </w:r>
    </w:p>
    <w:p>
      <w:pPr>
        <w:pStyle w:val="Normal"/>
        <w:spacing w:lineRule="auto" w:line="259" w:before="0" w:after="167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szCs w:val="28"/>
        </w:rPr>
      </w:pPr>
      <w:r>
        <w:rPr>
          <w:szCs w:val="28"/>
        </w:rPr>
        <w:t xml:space="preserve">Управляющий делами Администрации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Cs w:val="28"/>
        </w:rPr>
        <w:t>Сандовского муниципального округа</w:t>
        <w:tab/>
        <w:tab/>
        <w:tab/>
        <w:tab/>
        <w:t>Г.И.Горохова</w:t>
      </w:r>
      <w:r>
        <w:rPr>
          <w:b/>
          <w:color w:val="26282F"/>
          <w:sz w:val="22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>
          <w:b/>
          <w:color w:val="26282F"/>
          <w:sz w:val="22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>
          <w:b/>
          <w:color w:val="26282F"/>
          <w:sz w:val="22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>
          <w:b/>
          <w:color w:val="26282F"/>
          <w:sz w:val="22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>
          <w:b/>
          <w:color w:val="26282F"/>
          <w:sz w:val="22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>
          <w:b/>
          <w:color w:val="26282F"/>
          <w:sz w:val="22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>
          <w:b/>
          <w:color w:val="26282F"/>
          <w:sz w:val="22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>
          <w:b/>
          <w:color w:val="26282F"/>
          <w:sz w:val="22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>
          <w:b/>
          <w:color w:val="26282F"/>
          <w:sz w:val="22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>
          <w:b/>
          <w:color w:val="26282F"/>
          <w:sz w:val="22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635" distB="0" distL="635" distR="0" simplePos="0" locked="0" layoutInCell="0" allowOverlap="1" relativeHeight="9" wp14:anchorId="21A57CDD">
                <wp:simplePos x="0" y="0"/>
                <wp:positionH relativeFrom="column">
                  <wp:posOffset>2741930</wp:posOffset>
                </wp:positionH>
                <wp:positionV relativeFrom="paragraph">
                  <wp:posOffset>61595</wp:posOffset>
                </wp:positionV>
                <wp:extent cx="3425825" cy="885825"/>
                <wp:effectExtent l="635" t="635" r="0" b="0"/>
                <wp:wrapNone/>
                <wp:docPr id="4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760" cy="88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lineRule="auto" w:line="240" w:before="0" w:after="0"/>
                              <w:ind w:left="11" w:right="0" w:hanging="11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Приложение №2</w:t>
                            </w:r>
                          </w:p>
                          <w:p>
                            <w:pPr>
                              <w:pStyle w:val="Style28"/>
                              <w:spacing w:lineRule="auto" w:line="240" w:before="0" w:after="0"/>
                              <w:ind w:left="11" w:right="0" w:hanging="11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к Распоряжению Администрации Сандовского муниципального округа от 30.12.2021 г № 350-Р</w:t>
                            </w:r>
                          </w:p>
                          <w:p>
                            <w:pPr>
                              <w:pStyle w:val="Style28"/>
                              <w:ind w:left="0" w:right="56" w:hanging="1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8"/>
                              <w:ind w:left="0" w:right="56" w:hanging="1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8"/>
                              <w:ind w:left="0" w:right="56" w:hanging="1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8"/>
                              <w:ind w:left="0" w:right="56" w:hanging="1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8"/>
                              <w:spacing w:before="0" w:after="203"/>
                              <w:ind w:left="0" w:right="56" w:hanging="1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path="m0,0l-2147483645,0l-2147483645,-2147483646l0,-2147483646xe" fillcolor="white" stroked="f" o:allowincell="f" style="position:absolute;margin-left:215.9pt;margin-top:4.85pt;width:269.7pt;height:69.7pt;mso-wrap-style:square;v-text-anchor:top" wp14:anchorId="21A57CDD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8"/>
                        <w:spacing w:lineRule="auto" w:line="240" w:before="0" w:after="0"/>
                        <w:ind w:left="11" w:right="0" w:hanging="11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Приложение №2</w:t>
                      </w:r>
                    </w:p>
                    <w:p>
                      <w:pPr>
                        <w:pStyle w:val="Style28"/>
                        <w:spacing w:lineRule="auto" w:line="240" w:before="0" w:after="0"/>
                        <w:ind w:left="11" w:right="0" w:hanging="11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к Распоряжению Администрации Сандовского муниципального округа от 30.12.2021 г № 350-Р</w:t>
                      </w:r>
                    </w:p>
                    <w:p>
                      <w:pPr>
                        <w:pStyle w:val="Style28"/>
                        <w:ind w:left="0" w:right="56" w:hanging="1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8"/>
                        <w:ind w:left="0" w:right="56" w:hanging="1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8"/>
                        <w:ind w:left="0" w:right="56" w:hanging="1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8"/>
                        <w:ind w:left="0" w:right="56" w:hanging="1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8"/>
                        <w:spacing w:before="0" w:after="203"/>
                        <w:ind w:left="0" w:right="56" w:hanging="1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>
          <w:b/>
          <w:color w:val="26282F"/>
          <w:sz w:val="22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>
          <w:b/>
          <w:color w:val="26282F"/>
          <w:sz w:val="22"/>
        </w:rPr>
        <w:t xml:space="preserve"> </w:t>
      </w:r>
    </w:p>
    <w:p>
      <w:pPr>
        <w:pStyle w:val="Normal"/>
        <w:spacing w:lineRule="auto" w:line="259" w:before="0" w:after="222"/>
        <w:ind w:left="0" w:right="0" w:hanging="0"/>
        <w:jc w:val="left"/>
        <w:rPr/>
      </w:pPr>
      <w:r>
        <w:rPr/>
      </w:r>
    </w:p>
    <w:p>
      <w:pPr>
        <w:pStyle w:val="1"/>
        <w:ind w:left="10" w:right="58" w:hanging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ind w:left="10" w:right="58" w:hanging="10"/>
        <w:rPr>
          <w:sz w:val="26"/>
          <w:szCs w:val="26"/>
        </w:rPr>
      </w:pPr>
      <w:r>
        <w:rPr>
          <w:sz w:val="26"/>
          <w:szCs w:val="26"/>
        </w:rPr>
        <w:t xml:space="preserve">Методика  расчета ключевых показателей эффективности антимонопольного комплаенса для Администрации Сандовского муниципального округа Тверской области в целом </w:t>
      </w:r>
    </w:p>
    <w:p>
      <w:pPr>
        <w:pStyle w:val="Normal"/>
        <w:spacing w:lineRule="auto" w:line="259" w:before="0" w:after="217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spacing w:lineRule="auto" w:line="259" w:before="0" w:after="217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1. Коэффициент снижения количества нарушений </w:t>
      </w:r>
      <w:hyperlink r:id="rId12">
        <w:r>
          <w:rPr>
            <w:sz w:val="26"/>
            <w:szCs w:val="26"/>
          </w:rPr>
          <w:t xml:space="preserve">антимонопольного </w:t>
        </w:r>
      </w:hyperlink>
      <w:hyperlink r:id="rId13">
        <w:r>
          <w:rPr>
            <w:sz w:val="26"/>
            <w:szCs w:val="26"/>
          </w:rPr>
          <w:t>законодательства</w:t>
        </w:r>
      </w:hyperlink>
      <w:hyperlink r:id="rId14">
        <w:r>
          <w:rPr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 xml:space="preserve">со стороны Администрации Сандовского муниципального округа Тверской области (далее – Администрация) по сравнению с предыдущим годом рассчитывается по формуле: </w:t>
      </w:r>
    </w:p>
    <w:p>
      <w:pPr>
        <w:pStyle w:val="Normal"/>
        <w:spacing w:lineRule="atLeast" w:line="113" w:before="0" w:after="438"/>
        <w:ind w:left="0" w:right="0" w:hanging="0"/>
        <w:jc w:val="left"/>
        <w:rPr/>
      </w:pPr>
      <w:r>
        <w:rPr>
          <w:sz w:val="26"/>
          <w:szCs w:val="26"/>
        </w:rPr>
        <w:t xml:space="preserve"> </w:t>
      </w:r>
    </w:p>
    <w:p>
      <w:pPr>
        <w:pStyle w:val="Normal"/>
        <w:spacing w:lineRule="atLeast" w:line="113" w:before="0" w:after="0"/>
        <w:ind w:left="1071" w:right="0" w:hanging="0"/>
        <w:jc w:val="left"/>
        <w:rPr/>
      </w:pPr>
      <w:r>
        <w:rPr>
          <w:sz w:val="26"/>
          <w:szCs w:val="26"/>
        </w:rPr>
        <w:t>КНпг</w:t>
      </w:r>
    </w:p>
    <w:p>
      <w:pPr>
        <w:pStyle w:val="Normal"/>
        <w:spacing w:lineRule="atLeast" w:line="113" w:before="0" w:after="0"/>
        <w:ind w:left="64" w:right="0" w:hanging="10"/>
        <w:jc w:val="left"/>
        <w:rPr/>
      </w:pPr>
      <w:r>
        <w:rPr>
          <w:sz w:val="26"/>
          <w:szCs w:val="26"/>
        </w:rPr>
        <w:t>КСН=</w:t>
      </w:r>
      <w:r>
        <w:rPr>
          <w:sz w:val="26"/>
          <w:szCs w:val="26"/>
        </w:rPr>
        <mc:AlternateContent>
          <mc:Choice Requires="wpg">
            <w:drawing>
              <wp:inline distT="0" distB="0" distL="0" distR="0">
                <wp:extent cx="611505" cy="12700"/>
                <wp:effectExtent l="0" t="0" r="0" b="0"/>
                <wp:docPr id="6" name="Фигура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40" cy="12600"/>
                          <a:chOff x="0" y="0"/>
                          <a:chExt cx="611640" cy="12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164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11263" h="12742">
                                <a:moveTo>
                                  <a:pt x="0" y="0"/>
                                </a:moveTo>
                                <a:lnTo>
                                  <a:pt x="611263" y="0"/>
                                </a:lnTo>
                                <a:lnTo>
                                  <a:pt x="611263" y="12742"/>
                                </a:lnTo>
                                <a:lnTo>
                                  <a:pt x="0" y="12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43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3" style="position:absolute;margin-left:0pt;margin-top:-1.05pt;width:48.15pt;height:1pt" coordorigin="0,-21" coordsize="963,20"/>
            </w:pict>
          </mc:Fallback>
        </mc:AlternateContent>
      </w:r>
    </w:p>
    <w:p>
      <w:pPr>
        <w:pStyle w:val="Normal"/>
        <w:spacing w:lineRule="atLeast" w:line="113" w:before="0" w:after="296"/>
        <w:ind w:left="1161" w:right="44" w:hanging="10"/>
        <w:rPr/>
      </w:pPr>
      <w:r>
        <w:rPr>
          <w:sz w:val="26"/>
          <w:szCs w:val="26"/>
        </w:rPr>
        <w:t xml:space="preserve">КНоп, где </w:t>
      </w:r>
    </w:p>
    <w:p>
      <w:pPr>
        <w:pStyle w:val="Normal"/>
        <w:spacing w:lineRule="auto" w:line="259" w:before="0" w:after="475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perscript"/>
        </w:rPr>
        <w:t>КСН</w:t>
      </w:r>
      <w:r>
        <w:rPr>
          <w:sz w:val="26"/>
          <w:szCs w:val="26"/>
        </w:rPr>
        <w:t xml:space="preserve">- коэффициент снижения количества нарушений </w:t>
      </w:r>
      <w:hyperlink r:id="rId15">
        <w:r>
          <w:rPr>
            <w:sz w:val="26"/>
            <w:szCs w:val="26"/>
          </w:rPr>
          <w:t xml:space="preserve">антимонопольного </w:t>
        </w:r>
      </w:hyperlink>
      <w:hyperlink r:id="rId16">
        <w:r>
          <w:rPr>
            <w:sz w:val="26"/>
            <w:szCs w:val="26"/>
          </w:rPr>
          <w:t>законодательства</w:t>
        </w:r>
      </w:hyperlink>
      <w:hyperlink r:id="rId17">
        <w:r>
          <w:rPr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 xml:space="preserve">со стороны Администрации по сравнению с предыдущим годом; </w:t>
      </w:r>
    </w:p>
    <w:p>
      <w:pPr>
        <w:pStyle w:val="Normal"/>
        <w:spacing w:before="0" w:after="456"/>
        <w:ind w:left="-5" w:right="44" w:hanging="10"/>
        <w:rPr/>
      </w:pPr>
      <w:r>
        <w:rPr>
          <w:sz w:val="26"/>
          <w:szCs w:val="26"/>
          <w:vertAlign w:val="superscript"/>
        </w:rPr>
        <w:t>КНпг</w:t>
      </w:r>
      <w:r>
        <w:rPr>
          <w:sz w:val="26"/>
          <w:szCs w:val="26"/>
        </w:rPr>
        <w:t xml:space="preserve"> - количество нарушений </w:t>
      </w:r>
      <w:hyperlink r:id="rId18">
        <w:r>
          <w:rPr>
            <w:sz w:val="26"/>
            <w:szCs w:val="26"/>
          </w:rPr>
          <w:t>антимонопольного законодательства</w:t>
        </w:r>
      </w:hyperlink>
      <w:hyperlink r:id="rId19">
        <w:r>
          <w:rPr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 xml:space="preserve">со стороны Администрации в предыдущем году; </w:t>
      </w:r>
    </w:p>
    <w:p>
      <w:pPr>
        <w:pStyle w:val="Normal"/>
        <w:ind w:left="-5" w:right="44" w:hanging="10"/>
        <w:rPr/>
      </w:pPr>
      <w:r>
        <w:rPr>
          <w:sz w:val="26"/>
          <w:szCs w:val="26"/>
          <w:vertAlign w:val="superscript"/>
        </w:rPr>
        <w:t>КНоп</w:t>
      </w:r>
      <w:r>
        <w:rPr>
          <w:sz w:val="26"/>
          <w:szCs w:val="26"/>
        </w:rPr>
        <w:t xml:space="preserve"> - количество нарушений </w:t>
      </w:r>
      <w:hyperlink r:id="rId20">
        <w:r>
          <w:rPr>
            <w:sz w:val="26"/>
            <w:szCs w:val="26"/>
          </w:rPr>
          <w:t>антимонопольного законодательства</w:t>
        </w:r>
      </w:hyperlink>
      <w:hyperlink r:id="rId21">
        <w:r>
          <w:rPr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 xml:space="preserve">со стороны Администрации в отчетном периоде. </w:t>
      </w:r>
    </w:p>
    <w:p>
      <w:pPr>
        <w:pStyle w:val="Normal"/>
        <w:ind w:left="-5" w:right="44" w:hanging="10"/>
        <w:rPr/>
      </w:pPr>
      <w:r>
        <w:rPr>
          <w:sz w:val="26"/>
          <w:szCs w:val="26"/>
        </w:rPr>
        <w:t xml:space="preserve">При расчете коэффициента снижения количества нарушений </w:t>
      </w:r>
      <w:hyperlink r:id="rId22">
        <w:r>
          <w:rPr>
            <w:sz w:val="26"/>
            <w:szCs w:val="26"/>
          </w:rPr>
          <w:t>антимонопольного законодательства</w:t>
        </w:r>
      </w:hyperlink>
      <w:hyperlink r:id="rId23">
        <w:r>
          <w:rPr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 xml:space="preserve">со стороны Администрации, под нарушением антимонопольного законодательства со стороны Администрации понимаются: </w:t>
      </w:r>
    </w:p>
    <w:p>
      <w:pPr>
        <w:pStyle w:val="Normal"/>
        <w:numPr>
          <w:ilvl w:val="0"/>
          <w:numId w:val="1"/>
        </w:numPr>
        <w:ind w:left="10" w:right="44" w:hanging="10"/>
        <w:rPr>
          <w:sz w:val="26"/>
          <w:szCs w:val="26"/>
        </w:rPr>
      </w:pPr>
      <w:r>
        <w:rPr>
          <w:sz w:val="26"/>
          <w:szCs w:val="26"/>
        </w:rPr>
        <w:t xml:space="preserve">возбужденные антимонопольным органом в отношении Администрации и (или) ее структурных подразделений антимонопольные дела; </w:t>
      </w:r>
    </w:p>
    <w:p>
      <w:pPr>
        <w:pStyle w:val="Normal"/>
        <w:numPr>
          <w:ilvl w:val="0"/>
          <w:numId w:val="1"/>
        </w:numPr>
        <w:ind w:left="10" w:right="44" w:hanging="10"/>
        <w:rPr/>
      </w:pPr>
      <w:r>
        <w:rPr>
          <w:sz w:val="26"/>
          <w:szCs w:val="26"/>
        </w:rPr>
        <w:t xml:space="preserve">выданные антимонопольным органом Администрации  (ее структурным подразделениям) предупреждения о прекращении действий (бездействия), об отмене или изменении актов, которые содержат признаки нарушения </w:t>
      </w:r>
      <w:hyperlink r:id="rId24">
        <w:r>
          <w:rPr>
            <w:sz w:val="26"/>
            <w:szCs w:val="26"/>
          </w:rPr>
          <w:t>антимонопольного законодательства,</w:t>
        </w:r>
      </w:hyperlink>
      <w:r>
        <w:rPr>
          <w:sz w:val="26"/>
          <w:szCs w:val="26"/>
        </w:rPr>
        <w:t xml:space="preserve"> либо об устранении причин и условий, способствовавших возникновению такого нарушения, и о принятии мер по устранению последствий такого нарушения; </w:t>
      </w:r>
    </w:p>
    <w:p>
      <w:pPr>
        <w:pStyle w:val="Normal"/>
        <w:numPr>
          <w:ilvl w:val="0"/>
          <w:numId w:val="1"/>
        </w:numPr>
        <w:spacing w:before="0" w:after="239"/>
        <w:ind w:left="10" w:right="44" w:hanging="10"/>
        <w:rPr/>
      </w:pPr>
      <w:r>
        <w:rPr>
          <w:sz w:val="26"/>
          <w:szCs w:val="26"/>
        </w:rPr>
        <w:t xml:space="preserve">направленные антимонопольным органом Администрации (ее структурным подразделениям) предостережения о недопустимости совершения действий, которые могут привести к нарушению </w:t>
      </w:r>
      <w:hyperlink r:id="rId25">
        <w:r>
          <w:rPr>
            <w:sz w:val="26"/>
            <w:szCs w:val="26"/>
          </w:rPr>
          <w:t>антимонопольного законодательства</w:t>
        </w:r>
      </w:hyperlink>
      <w:hyperlink r:id="rId26">
        <w:r>
          <w:rPr>
            <w:sz w:val="26"/>
            <w:szCs w:val="26"/>
          </w:rPr>
          <w:t>.</w:t>
        </w:r>
      </w:hyperlink>
      <w:r>
        <w:rPr>
          <w:sz w:val="26"/>
          <w:szCs w:val="26"/>
        </w:rPr>
        <w:t xml:space="preserve"> </w:t>
      </w:r>
    </w:p>
    <w:p>
      <w:pPr>
        <w:pStyle w:val="Normal"/>
        <w:spacing w:lineRule="auto" w:line="271" w:before="0" w:after="198"/>
        <w:ind w:left="0" w:right="0" w:hanging="0"/>
        <w:rPr>
          <w:sz w:val="26"/>
          <w:szCs w:val="26"/>
        </w:rPr>
      </w:pPr>
      <w:r>
        <w:rPr>
          <w:sz w:val="26"/>
          <w:szCs w:val="26"/>
        </w:rPr>
        <w:t xml:space="preserve">2.  Доля </w:t>
        <w:tab/>
        <w:t xml:space="preserve">проектов </w:t>
        <w:tab/>
        <w:t xml:space="preserve">нормативных </w:t>
        <w:tab/>
        <w:t xml:space="preserve">правовых </w:t>
        <w:tab/>
        <w:t xml:space="preserve">актов </w:t>
        <w:tab/>
        <w:t xml:space="preserve">Администрации (структурных подразделений), в которых выявлены риски нарушения антимонопольного законодательства, рассчитывается по формуле: </w:t>
      </w:r>
    </w:p>
    <w:p>
      <w:pPr>
        <w:pStyle w:val="Normal"/>
        <w:spacing w:lineRule="auto" w:line="259" w:before="0" w:after="325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spacing w:lineRule="auto" w:line="259" w:before="0" w:after="0"/>
        <w:ind w:left="1316" w:right="0" w:hanging="10"/>
        <w:jc w:val="left"/>
        <w:rPr>
          <w:sz w:val="26"/>
          <w:szCs w:val="26"/>
        </w:rPr>
      </w:pPr>
      <w:r>
        <w:rPr>
          <w:sz w:val="26"/>
          <w:szCs w:val="26"/>
        </w:rPr>
        <w:t>Кпнпа</w:t>
      </w:r>
    </w:p>
    <w:p>
      <w:pPr>
        <w:pStyle w:val="Normal"/>
        <w:spacing w:lineRule="auto" w:line="259" w:before="0" w:after="0"/>
        <w:ind w:left="64" w:right="0" w:hanging="10"/>
        <w:jc w:val="left"/>
        <w:rPr>
          <w:sz w:val="26"/>
          <w:szCs w:val="26"/>
        </w:rPr>
      </w:pPr>
      <w:r>
        <w:rPr>
          <w:sz w:val="26"/>
          <w:szCs w:val="26"/>
        </w:rPr>
        <w:t>Дпнпа=</w:t>
      </w:r>
      <w:r>
        <w:rPr>
          <w:sz w:val="26"/>
          <w:szCs w:val="26"/>
        </w:rPr>
        <mc:AlternateContent>
          <mc:Choice Requires="wpg">
            <w:drawing>
              <wp:inline distT="0" distB="0" distL="0" distR="0">
                <wp:extent cx="596265" cy="12700"/>
                <wp:effectExtent l="0" t="0" r="0" b="0"/>
                <wp:docPr id="7" name="Фигура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160" cy="12600"/>
                          <a:chOff x="0" y="0"/>
                          <a:chExt cx="596160" cy="12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9616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6061" h="12725">
                                <a:moveTo>
                                  <a:pt x="0" y="0"/>
                                </a:moveTo>
                                <a:lnTo>
                                  <a:pt x="596061" y="0"/>
                                </a:lnTo>
                                <a:lnTo>
                                  <a:pt x="596061" y="12725"/>
                                </a:lnTo>
                                <a:lnTo>
                                  <a:pt x="0" y="12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42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4" style="position:absolute;margin-left:0pt;margin-top:-1.05pt;width:46.95pt;height:1pt" coordorigin="0,-21" coordsize="939,20"/>
            </w:pict>
          </mc:Fallback>
        </mc:AlternateContent>
      </w:r>
    </w:p>
    <w:p>
      <w:pPr>
        <w:pStyle w:val="Normal"/>
        <w:spacing w:before="0" w:after="293"/>
        <w:ind w:left="1376" w:right="44" w:hanging="10"/>
        <w:rPr>
          <w:sz w:val="26"/>
          <w:szCs w:val="26"/>
        </w:rPr>
      </w:pPr>
      <w:r>
        <w:rPr>
          <w:sz w:val="26"/>
          <w:szCs w:val="26"/>
        </w:rPr>
        <w:t xml:space="preserve">КНоп , где </w:t>
      </w:r>
    </w:p>
    <w:p>
      <w:pPr>
        <w:pStyle w:val="Normal"/>
        <w:spacing w:before="0" w:after="458"/>
        <w:ind w:left="-5" w:right="44" w:hanging="10"/>
        <w:rPr/>
      </w:pPr>
      <w:r>
        <w:rPr>
          <w:sz w:val="26"/>
          <w:szCs w:val="26"/>
          <w:vertAlign w:val="superscript"/>
        </w:rPr>
        <w:t>Дпнпа</w:t>
      </w:r>
      <w:r>
        <w:rPr>
          <w:sz w:val="26"/>
          <w:szCs w:val="26"/>
        </w:rPr>
        <w:t xml:space="preserve"> - доля проектов нормативных правовых актов Администрации, в которых выявлены риски нарушения </w:t>
      </w:r>
      <w:hyperlink r:id="rId27">
        <w:r>
          <w:rPr>
            <w:sz w:val="26"/>
            <w:szCs w:val="26"/>
          </w:rPr>
          <w:t>антимонопольного законодательства</w:t>
        </w:r>
      </w:hyperlink>
      <w:hyperlink r:id="rId28">
        <w:r>
          <w:rPr>
            <w:sz w:val="26"/>
            <w:szCs w:val="26"/>
          </w:rPr>
          <w:t>;</w:t>
        </w:r>
      </w:hyperlink>
      <w:r>
        <w:rPr>
          <w:sz w:val="26"/>
          <w:szCs w:val="26"/>
        </w:rPr>
        <w:t xml:space="preserve"> </w:t>
      </w:r>
    </w:p>
    <w:p>
      <w:pPr>
        <w:pStyle w:val="Normal"/>
        <w:spacing w:before="0" w:after="458"/>
        <w:ind w:left="-5" w:right="44" w:hanging="10"/>
        <w:rPr/>
      </w:pPr>
      <w:r>
        <w:rPr>
          <w:sz w:val="26"/>
          <w:szCs w:val="26"/>
          <w:vertAlign w:val="superscript"/>
        </w:rPr>
        <w:t>Кпнпа</w:t>
      </w:r>
      <w:r>
        <w:rPr>
          <w:sz w:val="26"/>
          <w:szCs w:val="26"/>
        </w:rPr>
        <w:t xml:space="preserve"> - количество проектов нормативных правовых актов Администрации, в которых Администрацией выявлены риски нарушения </w:t>
      </w:r>
      <w:hyperlink r:id="rId29">
        <w:r>
          <w:rPr>
            <w:sz w:val="26"/>
            <w:szCs w:val="26"/>
          </w:rPr>
          <w:t>антимонопольного законодательства</w:t>
        </w:r>
      </w:hyperlink>
      <w:hyperlink r:id="rId30">
        <w:r>
          <w:rPr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 xml:space="preserve">(в отчетном периоде); </w:t>
      </w:r>
    </w:p>
    <w:p>
      <w:pPr>
        <w:pStyle w:val="Normal"/>
        <w:ind w:left="-5" w:right="44" w:hanging="10"/>
        <w:rPr/>
      </w:pPr>
      <w:r>
        <w:rPr>
          <w:sz w:val="26"/>
          <w:szCs w:val="26"/>
          <w:vertAlign w:val="superscript"/>
        </w:rPr>
        <w:t>КНоп</w:t>
      </w:r>
      <w:r>
        <w:rPr>
          <w:sz w:val="26"/>
          <w:szCs w:val="26"/>
        </w:rPr>
        <w:t xml:space="preserve"> - количество нормативных правовых актов Администрации, в которых антимонопольным органом выявлены нарушения </w:t>
      </w:r>
      <w:hyperlink r:id="rId31">
        <w:r>
          <w:rPr>
            <w:sz w:val="26"/>
            <w:szCs w:val="26"/>
          </w:rPr>
          <w:t xml:space="preserve">антимонопольного </w:t>
        </w:r>
      </w:hyperlink>
      <w:hyperlink r:id="rId32">
        <w:r>
          <w:rPr>
            <w:sz w:val="26"/>
            <w:szCs w:val="26"/>
          </w:rPr>
          <w:t>законодательства</w:t>
        </w:r>
      </w:hyperlink>
      <w:hyperlink r:id="rId33">
        <w:r>
          <w:rPr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 xml:space="preserve">(в отчетном периоде). </w:t>
      </w:r>
    </w:p>
    <w:p>
      <w:pPr>
        <w:pStyle w:val="Normal"/>
        <w:ind w:left="-5" w:right="44" w:hanging="10"/>
        <w:rPr>
          <w:sz w:val="26"/>
          <w:szCs w:val="26"/>
        </w:rPr>
      </w:pPr>
      <w:r>
        <w:rPr>
          <w:sz w:val="26"/>
          <w:szCs w:val="26"/>
        </w:rPr>
        <w:t xml:space="preserve">3. Доля нормативных правовых актов Администрации, в которых выявлены риски нарушения антимонопольного законодательства, рассчитывается по формуле: </w:t>
      </w:r>
    </w:p>
    <w:p>
      <w:pPr>
        <w:pStyle w:val="Normal"/>
        <w:spacing w:lineRule="auto" w:line="259" w:before="0" w:after="321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spacing w:lineRule="auto" w:line="259" w:before="0" w:after="0"/>
        <w:ind w:left="1157" w:right="0" w:hanging="10"/>
        <w:jc w:val="left"/>
        <w:rPr>
          <w:sz w:val="26"/>
          <w:szCs w:val="26"/>
        </w:rPr>
      </w:pPr>
      <w:r>
        <w:rPr>
          <w:sz w:val="26"/>
          <w:szCs w:val="26"/>
        </w:rPr>
        <w:t>Кнпа</w:t>
      </w:r>
    </w:p>
    <w:p>
      <w:pPr>
        <w:pStyle w:val="Normal"/>
        <w:spacing w:lineRule="auto" w:line="259" w:before="0" w:after="0"/>
        <w:ind w:left="64" w:right="0" w:hanging="10"/>
        <w:jc w:val="left"/>
        <w:rPr>
          <w:sz w:val="26"/>
          <w:szCs w:val="26"/>
        </w:rPr>
      </w:pPr>
      <w:r>
        <w:rPr>
          <w:sz w:val="26"/>
          <w:szCs w:val="26"/>
        </w:rPr>
        <w:t>Днпа=</w:t>
      </w:r>
      <w:r>
        <w:rPr>
          <w:sz w:val="26"/>
          <w:szCs w:val="26"/>
        </w:rPr>
        <mc:AlternateContent>
          <mc:Choice Requires="wpg">
            <w:drawing>
              <wp:inline distT="0" distB="0" distL="0" distR="0">
                <wp:extent cx="520065" cy="12700"/>
                <wp:effectExtent l="0" t="0" r="0" b="0"/>
                <wp:docPr id="8" name="Фигура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200" cy="12600"/>
                          <a:chOff x="0" y="0"/>
                          <a:chExt cx="520200" cy="12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2020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19992" h="12725">
                                <a:moveTo>
                                  <a:pt x="0" y="0"/>
                                </a:moveTo>
                                <a:lnTo>
                                  <a:pt x="519992" y="0"/>
                                </a:lnTo>
                                <a:lnTo>
                                  <a:pt x="519992" y="12725"/>
                                </a:lnTo>
                                <a:lnTo>
                                  <a:pt x="0" y="12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42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5" style="position:absolute;margin-left:0pt;margin-top:-1.05pt;width:40.95pt;height:1pt" coordorigin="0,-21" coordsize="819,20"/>
            </w:pict>
          </mc:Fallback>
        </mc:AlternateContent>
      </w:r>
    </w:p>
    <w:p>
      <w:pPr>
        <w:pStyle w:val="Normal"/>
        <w:spacing w:before="0" w:after="296"/>
        <w:ind w:left="1137" w:right="44" w:hanging="10"/>
        <w:rPr>
          <w:sz w:val="26"/>
          <w:szCs w:val="26"/>
        </w:rPr>
      </w:pPr>
      <w:r>
        <w:rPr>
          <w:sz w:val="26"/>
          <w:szCs w:val="26"/>
        </w:rPr>
        <w:t xml:space="preserve">КНоп , где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perscript"/>
        </w:rPr>
        <w:t>Днпа</w:t>
      </w:r>
      <w:r>
        <w:rPr>
          <w:sz w:val="26"/>
          <w:szCs w:val="26"/>
        </w:rPr>
        <w:t xml:space="preserve"> - доля нормативных правовых актов Администрации, в которых выявлены риски нарушения </w:t>
      </w:r>
      <w:hyperlink r:id="rId34">
        <w:r>
          <w:rPr>
            <w:sz w:val="26"/>
            <w:szCs w:val="26"/>
          </w:rPr>
          <w:t>антимонопольного законодательства</w:t>
        </w:r>
      </w:hyperlink>
      <w:hyperlink r:id="rId35">
        <w:r>
          <w:rPr>
            <w:sz w:val="26"/>
            <w:szCs w:val="26"/>
          </w:rPr>
          <w:t>;</w:t>
        </w:r>
      </w:hyperlink>
      <w:r>
        <w:rPr>
          <w:sz w:val="26"/>
          <w:szCs w:val="26"/>
        </w:rPr>
        <w:t xml:space="preserve"> </w:t>
      </w:r>
    </w:p>
    <w:p>
      <w:pPr>
        <w:pStyle w:val="Normal"/>
        <w:spacing w:before="0" w:after="458"/>
        <w:ind w:left="-5" w:right="44" w:hanging="10"/>
        <w:rPr/>
      </w:pPr>
      <w:r>
        <w:rPr>
          <w:sz w:val="26"/>
          <w:szCs w:val="26"/>
          <w:vertAlign w:val="superscript"/>
        </w:rPr>
        <w:t>Кпнпа</w:t>
      </w:r>
      <w:r>
        <w:rPr>
          <w:sz w:val="26"/>
          <w:szCs w:val="26"/>
        </w:rPr>
        <w:t xml:space="preserve"> - количество нормативных правовых актов Администрации, в которых Администрацией выявлены риски нарушения </w:t>
      </w:r>
      <w:hyperlink r:id="rId36">
        <w:r>
          <w:rPr>
            <w:sz w:val="26"/>
            <w:szCs w:val="26"/>
          </w:rPr>
          <w:t xml:space="preserve">антимонопольного </w:t>
        </w:r>
      </w:hyperlink>
      <w:hyperlink r:id="rId37">
        <w:r>
          <w:rPr>
            <w:sz w:val="26"/>
            <w:szCs w:val="26"/>
          </w:rPr>
          <w:t>законодательства</w:t>
        </w:r>
      </w:hyperlink>
      <w:hyperlink r:id="rId38">
        <w:r>
          <w:rPr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 xml:space="preserve">(в отчетном периоде); </w:t>
      </w:r>
    </w:p>
    <w:p>
      <w:pPr>
        <w:pStyle w:val="Normal"/>
        <w:ind w:left="-5" w:right="44" w:hanging="10"/>
        <w:rPr/>
      </w:pPr>
      <w:r>
        <w:rPr>
          <w:sz w:val="26"/>
          <w:szCs w:val="26"/>
          <w:vertAlign w:val="superscript"/>
        </w:rPr>
        <w:t>КНоп</w:t>
      </w:r>
      <w:r>
        <w:rPr>
          <w:sz w:val="26"/>
          <w:szCs w:val="26"/>
        </w:rPr>
        <w:t xml:space="preserve"> - количество нормативных правовых актов Администрации, в которых антимонопольным органом выявлены нарушения </w:t>
      </w:r>
      <w:hyperlink r:id="rId39">
        <w:r>
          <w:rPr>
            <w:sz w:val="26"/>
            <w:szCs w:val="26"/>
          </w:rPr>
          <w:t xml:space="preserve">антимонопольного </w:t>
        </w:r>
      </w:hyperlink>
      <w:hyperlink r:id="rId40">
        <w:r>
          <w:rPr>
            <w:sz w:val="26"/>
            <w:szCs w:val="26"/>
          </w:rPr>
          <w:t>законодательства</w:t>
        </w:r>
      </w:hyperlink>
      <w:hyperlink r:id="rId41">
        <w:r>
          <w:rPr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 xml:space="preserve">(в отчетном периоде). </w:t>
      </w:r>
    </w:p>
    <w:p>
      <w:pPr>
        <w:pStyle w:val="Normal"/>
        <w:spacing w:lineRule="auto" w:line="259" w:before="0" w:after="225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1"/>
        <w:spacing w:before="0" w:after="227"/>
        <w:ind w:left="10" w:right="0" w:hanging="10"/>
        <w:rPr>
          <w:sz w:val="26"/>
          <w:szCs w:val="26"/>
        </w:rPr>
      </w:pPr>
      <w:r>
        <w:rPr>
          <w:sz w:val="26"/>
          <w:szCs w:val="26"/>
        </w:rPr>
        <w:t>Методика расчета ключевого показателя эффективности антимонопольного комплаенса для уполномоченного подразделения (должностного лица) Администрации</w:t>
      </w:r>
      <w:r>
        <w:rPr>
          <w:b w:val="false"/>
          <w:sz w:val="26"/>
          <w:szCs w:val="26"/>
        </w:rPr>
        <w:t xml:space="preserve"> </w:t>
      </w:r>
    </w:p>
    <w:p>
      <w:pPr>
        <w:pStyle w:val="Normal"/>
        <w:ind w:left="-5" w:right="44" w:hanging="10"/>
        <w:rPr/>
      </w:pPr>
      <w:r>
        <w:rPr>
          <w:sz w:val="26"/>
          <w:szCs w:val="26"/>
        </w:rPr>
        <w:t xml:space="preserve">Доля сотрудников Администрации, с которыми были проведены обучающие мероприятия по </w:t>
      </w:r>
      <w:hyperlink r:id="rId42">
        <w:r>
          <w:rPr>
            <w:sz w:val="26"/>
            <w:szCs w:val="26"/>
          </w:rPr>
          <w:t>антимонопольному законодательству</w:t>
        </w:r>
      </w:hyperlink>
      <w:hyperlink r:id="rId43">
        <w:r>
          <w:rPr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 xml:space="preserve">и антимонопольному комплаенсу, рассчитывается по формуле: </w:t>
      </w:r>
    </w:p>
    <w:p>
      <w:pPr>
        <w:pStyle w:val="Normal"/>
        <w:spacing w:lineRule="auto" w:line="259" w:before="0" w:after="324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spacing w:lineRule="auto" w:line="259" w:before="0" w:after="0"/>
        <w:ind w:left="1202" w:right="0" w:hanging="10"/>
        <w:jc w:val="left"/>
        <w:rPr>
          <w:sz w:val="26"/>
          <w:szCs w:val="26"/>
        </w:rPr>
      </w:pPr>
      <w:r>
        <w:rPr>
          <w:sz w:val="26"/>
          <w:szCs w:val="26"/>
        </w:rPr>
        <w:t>КСо</w:t>
      </w:r>
    </w:p>
    <w:p>
      <w:pPr>
        <w:pStyle w:val="Normal"/>
        <w:spacing w:lineRule="auto" w:line="259" w:before="0" w:after="0"/>
        <w:ind w:left="64" w:right="0" w:hanging="10"/>
        <w:jc w:val="left"/>
        <w:rPr>
          <w:sz w:val="26"/>
          <w:szCs w:val="26"/>
        </w:rPr>
      </w:pPr>
      <w:r>
        <w:rPr>
          <w:sz w:val="26"/>
          <w:szCs w:val="26"/>
        </w:rPr>
        <w:t>ДСо=</w:t>
      </w:r>
      <w:r>
        <w:rPr>
          <w:sz w:val="26"/>
          <w:szCs w:val="26"/>
        </w:rPr>
        <mc:AlternateContent>
          <mc:Choice Requires="wpg">
            <w:drawing>
              <wp:inline distT="0" distB="0" distL="0" distR="0">
                <wp:extent cx="649605" cy="12700"/>
                <wp:effectExtent l="0" t="0" r="0" b="0"/>
                <wp:docPr id="9" name="Фигура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440" cy="12600"/>
                          <a:chOff x="0" y="0"/>
                          <a:chExt cx="649440" cy="12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944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427" h="12726">
                                <a:moveTo>
                                  <a:pt x="0" y="0"/>
                                </a:moveTo>
                                <a:lnTo>
                                  <a:pt x="649427" y="0"/>
                                </a:lnTo>
                                <a:lnTo>
                                  <a:pt x="649427" y="12726"/>
                                </a:lnTo>
                                <a:lnTo>
                                  <a:pt x="0" y="12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42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6" style="position:absolute;margin-left:0pt;margin-top:-1.05pt;width:51.15pt;height:1pt" coordorigin="0,-21" coordsize="1023,20"/>
            </w:pict>
          </mc:Fallback>
        </mc:AlternateContent>
      </w:r>
    </w:p>
    <w:p>
      <w:pPr>
        <w:pStyle w:val="Normal"/>
        <w:spacing w:before="0" w:after="558"/>
        <w:ind w:left="1021" w:right="44" w:hanging="10"/>
        <w:rPr>
          <w:sz w:val="26"/>
          <w:szCs w:val="26"/>
        </w:rPr>
      </w:pPr>
      <w:r>
        <w:rPr>
          <w:sz w:val="26"/>
          <w:szCs w:val="26"/>
        </w:rPr>
        <w:t xml:space="preserve">КСобщ , где </w:t>
      </w:r>
    </w:p>
    <w:p>
      <w:pPr>
        <w:pStyle w:val="Normal"/>
        <w:spacing w:before="0" w:after="459"/>
        <w:ind w:left="-5" w:right="44" w:hanging="10"/>
        <w:rPr/>
      </w:pPr>
      <w:r>
        <w:rPr>
          <w:sz w:val="26"/>
          <w:szCs w:val="26"/>
          <w:vertAlign w:val="superscript"/>
        </w:rPr>
        <w:t>ДСо</w:t>
      </w:r>
      <w:r>
        <w:rPr>
          <w:sz w:val="26"/>
          <w:szCs w:val="26"/>
        </w:rPr>
        <w:t xml:space="preserve"> - доля сотрудников Администрации, с которыми были проведены обучающие мероприятия по антимонопольному законодательств</w:t>
      </w:r>
      <w:hyperlink r:id="rId44">
        <w:r>
          <w:rPr>
            <w:sz w:val="26"/>
            <w:szCs w:val="26"/>
          </w:rPr>
          <w:t>у</w:t>
        </w:r>
      </w:hyperlink>
      <w:hyperlink r:id="rId45">
        <w:r>
          <w:rPr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 xml:space="preserve">и антимонопольному комплаенсу; </w:t>
      </w:r>
    </w:p>
    <w:p>
      <w:pPr>
        <w:pStyle w:val="Normal"/>
        <w:spacing w:before="0" w:after="456"/>
        <w:ind w:left="-5" w:right="44" w:hanging="10"/>
        <w:rPr/>
      </w:pPr>
      <w:r>
        <w:rPr>
          <w:sz w:val="26"/>
          <w:szCs w:val="26"/>
          <w:vertAlign w:val="superscript"/>
        </w:rPr>
        <w:t>КСо</w:t>
      </w:r>
      <w:r>
        <w:rPr>
          <w:sz w:val="26"/>
          <w:szCs w:val="26"/>
        </w:rPr>
        <w:t xml:space="preserve"> - количество сотрудников Администрации, с которыми были проведены обучающие мероприятия по </w:t>
      </w:r>
      <w:hyperlink r:id="rId46">
        <w:r>
          <w:rPr>
            <w:sz w:val="26"/>
            <w:szCs w:val="26"/>
          </w:rPr>
          <w:t>антимонопольному законодательству</w:t>
        </w:r>
      </w:hyperlink>
      <w:hyperlink r:id="rId47">
        <w:r>
          <w:rPr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 xml:space="preserve">и антимонопольному комплаенсу; </w:t>
      </w:r>
    </w:p>
    <w:p>
      <w:pPr>
        <w:pStyle w:val="Normal"/>
        <w:ind w:left="-5" w:right="44" w:hanging="10"/>
        <w:rPr/>
      </w:pPr>
      <w:r>
        <w:rPr>
          <w:sz w:val="26"/>
          <w:szCs w:val="26"/>
          <w:vertAlign w:val="superscript"/>
        </w:rPr>
        <w:t>КСобщ</w:t>
      </w:r>
      <w:r>
        <w:rPr>
          <w:sz w:val="26"/>
          <w:szCs w:val="26"/>
        </w:rPr>
        <w:t xml:space="preserve"> - общее количество сотрудников Администрации, чьи трудовые (должностные) обязанности предусматривают выполнение функций, связанных с рисками нарушения </w:t>
      </w:r>
      <w:hyperlink r:id="rId48">
        <w:r>
          <w:rPr>
            <w:sz w:val="26"/>
            <w:szCs w:val="26"/>
          </w:rPr>
          <w:t>антимонопольного законодательства</w:t>
        </w:r>
      </w:hyperlink>
      <w:hyperlink r:id="rId49">
        <w:r>
          <w:rPr>
            <w:sz w:val="26"/>
            <w:szCs w:val="26"/>
          </w:rPr>
          <w:t>.</w:t>
        </w:r>
      </w:hyperlink>
      <w:r>
        <w:rPr>
          <w:sz w:val="26"/>
          <w:szCs w:val="26"/>
        </w:rPr>
        <w:t xml:space="preserve"> </w:t>
      </w:r>
    </w:p>
    <w:p>
      <w:pPr>
        <w:pStyle w:val="Normal"/>
        <w:spacing w:lineRule="auto" w:line="259" w:before="0" w:after="16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59" w:before="0" w:after="160"/>
        <w:ind w:left="0" w:right="0" w:hanging="0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>
          <w:szCs w:val="28"/>
        </w:rPr>
      </w:pPr>
      <w:r>
        <w:rPr>
          <w:szCs w:val="28"/>
        </w:rPr>
        <w:t xml:space="preserve">Управляющий делами Администрации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Cs w:val="28"/>
        </w:rPr>
        <w:t>Сандовского муниципального округа</w:t>
        <w:tab/>
        <w:tab/>
        <w:tab/>
        <w:tab/>
        <w:t>Г.И.Горохова</w:t>
      </w:r>
      <w:r>
        <w:rPr>
          <w:b/>
          <w:color w:val="26282F"/>
          <w:sz w:val="22"/>
        </w:rPr>
        <w:t xml:space="preserve"> </w:t>
      </w:r>
    </w:p>
    <w:p>
      <w:pPr>
        <w:pStyle w:val="Normal"/>
        <w:spacing w:lineRule="auto" w:line="259" w:before="0" w:after="16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85" w:right="849" w:gutter="0" w:header="0" w:top="780" w:footer="0" w:bottom="71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1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203"/>
      <w:ind w:left="10" w:right="56" w:hanging="1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">
    <w:name w:val="Heading 1"/>
    <w:next w:val="Normal"/>
    <w:link w:val="11"/>
    <w:uiPriority w:val="9"/>
    <w:unhideWhenUsed/>
    <w:qFormat/>
    <w:pPr>
      <w:keepNext w:val="true"/>
      <w:keepLines/>
      <w:widowControl/>
      <w:suppressAutoHyphens w:val="true"/>
      <w:bidi w:val="0"/>
      <w:spacing w:lineRule="auto" w:line="247" w:before="0" w:after="12"/>
      <w:ind w:left="10" w:right="53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Pr>
      <w:rFonts w:ascii="Times New Roman" w:hAnsi="Times New Roman" w:eastAsia="Times New Roman" w:cs="Times New Roman"/>
      <w:b/>
      <w:color w:val="000000"/>
      <w:sz w:val="28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5077f5"/>
    <w:rPr>
      <w:rFonts w:ascii="Tahoma" w:hAnsi="Tahoma" w:eastAsia="Times New Roman" w:cs="Tahoma"/>
      <w:color w:val="000000"/>
      <w:sz w:val="16"/>
      <w:szCs w:val="16"/>
    </w:rPr>
  </w:style>
  <w:style w:type="character" w:styleId="Style14" w:customStyle="1">
    <w:name w:val="Подзаголовок Знак"/>
    <w:basedOn w:val="DefaultParagraphFont"/>
    <w:qFormat/>
    <w:rsid w:val="005077f5"/>
    <w:rPr>
      <w:rFonts w:ascii="Times New Roman" w:hAnsi="Times New Roman" w:eastAsia="Times New Roman" w:cs="Times New Roman"/>
      <w:sz w:val="20"/>
      <w:szCs w:val="20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sid w:val="005077f5"/>
    <w:rPr>
      <w:rFonts w:ascii="Times New Roman" w:hAnsi="Times New Roman" w:eastAsia="Times New Roman" w:cs="Times New Roman"/>
      <w:color w:val="000000"/>
      <w:sz w:val="28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5077f5"/>
    <w:rPr>
      <w:rFonts w:ascii="Times New Roman" w:hAnsi="Times New Roman" w:eastAsia="Times New Roman" w:cs="Times New Roman"/>
      <w:color w:val="000000"/>
      <w:sz w:val="28"/>
    </w:rPr>
  </w:style>
  <w:style w:type="character" w:styleId="Style17" w:customStyle="1">
    <w:name w:val="Нижний колонтитул Знак"/>
    <w:basedOn w:val="DefaultParagraphFont"/>
    <w:uiPriority w:val="99"/>
    <w:qFormat/>
    <w:rsid w:val="005077f5"/>
    <w:rPr>
      <w:rFonts w:ascii="Times New Roman" w:hAnsi="Times New Roman" w:eastAsia="Times New Roman" w:cs="Times New Roman"/>
      <w:color w:val="000000"/>
      <w:sz w:val="28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Style15"/>
    <w:uiPriority w:val="99"/>
    <w:semiHidden/>
    <w:unhideWhenUsed/>
    <w:rsid w:val="005077f5"/>
    <w:pPr>
      <w:spacing w:before="0" w:after="12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5077f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Subtitle"/>
    <w:basedOn w:val="Normal"/>
    <w:next w:val="Style20"/>
    <w:link w:val="Style14"/>
    <w:qFormat/>
    <w:rsid w:val="005077f5"/>
    <w:pPr>
      <w:spacing w:lineRule="auto" w:line="240" w:before="0" w:after="0"/>
      <w:ind w:left="0" w:right="0" w:hanging="0"/>
      <w:jc w:val="center"/>
    </w:pPr>
    <w:rPr>
      <w:color w:val="auto"/>
      <w:sz w:val="20"/>
      <w:szCs w:val="20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6"/>
    <w:uiPriority w:val="99"/>
    <w:unhideWhenUsed/>
    <w:rsid w:val="005077f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Style17"/>
    <w:uiPriority w:val="99"/>
    <w:unhideWhenUsed/>
    <w:rsid w:val="005077f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077f5"/>
    <w:pPr>
      <w:spacing w:lineRule="auto" w:line="240" w:before="0" w:after="0"/>
      <w:ind w:left="720" w:right="0" w:hanging="0"/>
      <w:jc w:val="left"/>
    </w:pPr>
    <w:rPr>
      <w:color w:val="auto"/>
      <w:sz w:val="20"/>
      <w:szCs w:val="20"/>
    </w:rPr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garantf1://12048517.2/" TargetMode="External"/><Relationship Id="rId4" Type="http://schemas.openxmlformats.org/officeDocument/2006/relationships/hyperlink" Target="garantf1://12048517.2/" TargetMode="External"/><Relationship Id="rId5" Type="http://schemas.openxmlformats.org/officeDocument/2006/relationships/hyperlink" Target="garantf1://12048517.2/" TargetMode="External"/><Relationship Id="rId6" Type="http://schemas.openxmlformats.org/officeDocument/2006/relationships/hyperlink" Target="garantf1://12048517.2/" TargetMode="External"/><Relationship Id="rId7" Type="http://schemas.openxmlformats.org/officeDocument/2006/relationships/hyperlink" Target="garantf1://12048517.2/" TargetMode="External"/><Relationship Id="rId8" Type="http://schemas.openxmlformats.org/officeDocument/2006/relationships/hyperlink" Target="garantf1://12048517.2/" TargetMode="External"/><Relationship Id="rId9" Type="http://schemas.openxmlformats.org/officeDocument/2006/relationships/hyperlink" Target="garantf1://12048517.2/" TargetMode="External"/><Relationship Id="rId10" Type="http://schemas.openxmlformats.org/officeDocument/2006/relationships/hyperlink" Target="garantf1://12048517.2/" TargetMode="External"/><Relationship Id="rId11" Type="http://schemas.openxmlformats.org/officeDocument/2006/relationships/hyperlink" Target="garantf1://12048517.2/" TargetMode="External"/><Relationship Id="rId12" Type="http://schemas.openxmlformats.org/officeDocument/2006/relationships/hyperlink" Target="garantf1://12048517.2/" TargetMode="External"/><Relationship Id="rId13" Type="http://schemas.openxmlformats.org/officeDocument/2006/relationships/hyperlink" Target="garantf1://12048517.2/" TargetMode="External"/><Relationship Id="rId14" Type="http://schemas.openxmlformats.org/officeDocument/2006/relationships/hyperlink" Target="garantf1://12048517.2/" TargetMode="External"/><Relationship Id="rId15" Type="http://schemas.openxmlformats.org/officeDocument/2006/relationships/hyperlink" Target="garantf1://12048517.2/" TargetMode="External"/><Relationship Id="rId16" Type="http://schemas.openxmlformats.org/officeDocument/2006/relationships/hyperlink" Target="garantf1://12048517.2/" TargetMode="External"/><Relationship Id="rId17" Type="http://schemas.openxmlformats.org/officeDocument/2006/relationships/hyperlink" Target="garantf1://12048517.2/" TargetMode="External"/><Relationship Id="rId18" Type="http://schemas.openxmlformats.org/officeDocument/2006/relationships/hyperlink" Target="garantf1://12048517.2/" TargetMode="External"/><Relationship Id="rId19" Type="http://schemas.openxmlformats.org/officeDocument/2006/relationships/hyperlink" Target="garantf1://12048517.2/" TargetMode="External"/><Relationship Id="rId20" Type="http://schemas.openxmlformats.org/officeDocument/2006/relationships/hyperlink" Target="garantf1://12048517.2/" TargetMode="External"/><Relationship Id="rId21" Type="http://schemas.openxmlformats.org/officeDocument/2006/relationships/hyperlink" Target="garantf1://12048517.2/" TargetMode="External"/><Relationship Id="rId22" Type="http://schemas.openxmlformats.org/officeDocument/2006/relationships/hyperlink" Target="garantf1://12048517.2/" TargetMode="External"/><Relationship Id="rId23" Type="http://schemas.openxmlformats.org/officeDocument/2006/relationships/hyperlink" Target="garantf1://12048517.2/" TargetMode="External"/><Relationship Id="rId24" Type="http://schemas.openxmlformats.org/officeDocument/2006/relationships/hyperlink" Target="garantf1://12048517.2/" TargetMode="External"/><Relationship Id="rId25" Type="http://schemas.openxmlformats.org/officeDocument/2006/relationships/hyperlink" Target="garantf1://12048517.2/" TargetMode="External"/><Relationship Id="rId26" Type="http://schemas.openxmlformats.org/officeDocument/2006/relationships/hyperlink" Target="garantf1://12048517.2/" TargetMode="External"/><Relationship Id="rId27" Type="http://schemas.openxmlformats.org/officeDocument/2006/relationships/hyperlink" Target="garantf1://12048517.2/" TargetMode="External"/><Relationship Id="rId28" Type="http://schemas.openxmlformats.org/officeDocument/2006/relationships/hyperlink" Target="garantf1://12048517.2/" TargetMode="External"/><Relationship Id="rId29" Type="http://schemas.openxmlformats.org/officeDocument/2006/relationships/hyperlink" Target="garantf1://12048517.2/" TargetMode="External"/><Relationship Id="rId30" Type="http://schemas.openxmlformats.org/officeDocument/2006/relationships/hyperlink" Target="garantf1://12048517.2/" TargetMode="External"/><Relationship Id="rId31" Type="http://schemas.openxmlformats.org/officeDocument/2006/relationships/hyperlink" Target="garantf1://12048517.2/" TargetMode="External"/><Relationship Id="rId32" Type="http://schemas.openxmlformats.org/officeDocument/2006/relationships/hyperlink" Target="garantf1://12048517.2/" TargetMode="External"/><Relationship Id="rId33" Type="http://schemas.openxmlformats.org/officeDocument/2006/relationships/hyperlink" Target="garantf1://12048517.2/" TargetMode="External"/><Relationship Id="rId34" Type="http://schemas.openxmlformats.org/officeDocument/2006/relationships/hyperlink" Target="garantf1://12048517.2/" TargetMode="External"/><Relationship Id="rId35" Type="http://schemas.openxmlformats.org/officeDocument/2006/relationships/hyperlink" Target="garantf1://12048517.2/" TargetMode="External"/><Relationship Id="rId36" Type="http://schemas.openxmlformats.org/officeDocument/2006/relationships/hyperlink" Target="garantf1://12048517.2/" TargetMode="External"/><Relationship Id="rId37" Type="http://schemas.openxmlformats.org/officeDocument/2006/relationships/hyperlink" Target="garantf1://12048517.2/" TargetMode="External"/><Relationship Id="rId38" Type="http://schemas.openxmlformats.org/officeDocument/2006/relationships/hyperlink" Target="garantf1://12048517.2/" TargetMode="External"/><Relationship Id="rId39" Type="http://schemas.openxmlformats.org/officeDocument/2006/relationships/hyperlink" Target="garantf1://12048517.2/" TargetMode="External"/><Relationship Id="rId40" Type="http://schemas.openxmlformats.org/officeDocument/2006/relationships/hyperlink" Target="garantf1://12048517.2/" TargetMode="External"/><Relationship Id="rId41" Type="http://schemas.openxmlformats.org/officeDocument/2006/relationships/hyperlink" Target="garantf1://12048517.2/" TargetMode="External"/><Relationship Id="rId42" Type="http://schemas.openxmlformats.org/officeDocument/2006/relationships/hyperlink" Target="garantf1://12048517.2/" TargetMode="External"/><Relationship Id="rId43" Type="http://schemas.openxmlformats.org/officeDocument/2006/relationships/hyperlink" Target="garantf1://12048517.2/" TargetMode="External"/><Relationship Id="rId44" Type="http://schemas.openxmlformats.org/officeDocument/2006/relationships/hyperlink" Target="garantf1://12048517.2/" TargetMode="External"/><Relationship Id="rId45" Type="http://schemas.openxmlformats.org/officeDocument/2006/relationships/hyperlink" Target="garantf1://12048517.2/" TargetMode="External"/><Relationship Id="rId46" Type="http://schemas.openxmlformats.org/officeDocument/2006/relationships/hyperlink" Target="garantf1://12048517.2/" TargetMode="External"/><Relationship Id="rId47" Type="http://schemas.openxmlformats.org/officeDocument/2006/relationships/hyperlink" Target="garantf1://12048517.2/" TargetMode="External"/><Relationship Id="rId48" Type="http://schemas.openxmlformats.org/officeDocument/2006/relationships/hyperlink" Target="garantf1://12048517.2/" TargetMode="External"/><Relationship Id="rId49" Type="http://schemas.openxmlformats.org/officeDocument/2006/relationships/hyperlink" Target="garantf1://12048517.2/" TargetMode="External"/><Relationship Id="rId50" Type="http://schemas.openxmlformats.org/officeDocument/2006/relationships/numbering" Target="numbering.xml"/><Relationship Id="rId51" Type="http://schemas.openxmlformats.org/officeDocument/2006/relationships/fontTable" Target="fontTable.xml"/><Relationship Id="rId52" Type="http://schemas.openxmlformats.org/officeDocument/2006/relationships/settings" Target="settings.xml"/><Relationship Id="rId5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LibreOffice/7.3.0.3$Windows_x86 LibreOffice_project/0f246aa12d0eee4a0f7adcefbf7c878fc2238db3</Application>
  <AppVersion>15.0000</AppVersion>
  <Pages>5</Pages>
  <Words>770</Words>
  <Characters>6414</Characters>
  <CharactersWithSpaces>7453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2022-02-24T08:23:00Z</dcterms:created>
  <dc:creator>User</dc:creator>
  <dc:description/>
  <dc:language>ru-RU</dc:language>
  <cp:lastModifiedBy/>
  <cp:lastPrinted>2022-03-16T09:42:42Z</cp:lastPrinted>
  <dcterms:modified xsi:type="dcterms:W3CDTF">2022-03-16T09:48:57Z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