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color w:val="000000"/>
          <w:spacing w:val="0"/>
          <w:sz w:val="20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>ДУМА САНДОВСКОГО МУНИЦИПАЛЬНОГО ОКРУГА</w:t>
      </w:r>
    </w:p>
    <w:p w14:paraId="03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 xml:space="preserve">ТВЕРСКОЙ ОБЛАСТИ </w:t>
      </w:r>
    </w:p>
    <w:p w14:paraId="04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>РЕШЕНИЕ</w:t>
      </w:r>
    </w:p>
    <w:p w14:paraId="05000000">
      <w:pPr>
        <w:ind/>
        <w:jc w:val="left"/>
        <w:rPr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06.10.2020  </w:t>
      </w:r>
      <w:r>
        <w:rPr>
          <w:rFonts w:ascii="Times New Roman" w:hAnsi="Times New Roman"/>
          <w:color w:val="000000"/>
          <w:spacing w:val="0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0"/>
          <w:sz w:val="28"/>
        </w:rPr>
        <w:t xml:space="preserve">                            </w:t>
      </w:r>
      <w:r>
        <w:rPr>
          <w:rFonts w:ascii="Times New Roman" w:hAnsi="Times New Roman"/>
          <w:b w:val="0"/>
          <w:color w:val="000000"/>
          <w:spacing w:val="0"/>
          <w:sz w:val="28"/>
        </w:rPr>
        <w:t>пгт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Сандово                                                 № </w:t>
      </w:r>
      <w:r>
        <w:rPr>
          <w:rFonts w:ascii="Times New Roman" w:hAnsi="Times New Roman"/>
          <w:b w:val="0"/>
          <w:color w:val="000000"/>
          <w:spacing w:val="0"/>
          <w:sz w:val="28"/>
        </w:rPr>
        <w:t>24</w:t>
      </w:r>
    </w:p>
    <w:p w14:paraId="06000000">
      <w:pPr>
        <w:ind/>
        <w:jc w:val="left"/>
        <w:rPr>
          <w:sz w:val="28"/>
        </w:rPr>
      </w:pPr>
    </w:p>
    <w:p w14:paraId="07000000">
      <w:pPr>
        <w:ind/>
        <w:jc w:val="left"/>
        <w:rPr>
          <w:sz w:val="28"/>
        </w:rPr>
      </w:pPr>
    </w:p>
    <w:p w14:paraId="08000000">
      <w:pPr>
        <w:pStyle w:val="Style_2"/>
        <w:spacing w:after="0" w:before="0"/>
        <w:ind w:right="4000"/>
        <w:rPr>
          <w:b w:val="0"/>
          <w:sz w:val="28"/>
        </w:rPr>
      </w:pPr>
      <w:r>
        <w:rPr>
          <w:b w:val="0"/>
          <w:sz w:val="28"/>
        </w:rPr>
        <w:t>Об установлении и введении на территории Сандовского муниципального округа Тверской области налога на имущество физических лиц</w:t>
      </w:r>
    </w:p>
    <w:p w14:paraId="09000000">
      <w:pPr>
        <w:pStyle w:val="Style_2"/>
        <w:spacing w:after="0" w:before="0"/>
        <w:ind w:right="4000"/>
      </w:pPr>
    </w:p>
    <w:p w14:paraId="0A000000">
      <w:pPr>
        <w:pStyle w:val="Style_2"/>
        <w:spacing w:after="0" w:before="0"/>
        <w:ind w:right="4000"/>
      </w:pPr>
    </w:p>
    <w:p w14:paraId="0B000000">
      <w:pPr>
        <w:pStyle w:val="Style_2"/>
        <w:spacing w:after="0" w:before="0"/>
        <w:ind w:right="4000"/>
      </w:pP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 соответствии с главой 32 Налогового кодекса РФ, Федеральным законом от 06.10.2003 № 131-ФЗ «Об общих принципах организации местного самоуправления в Российской Федерации», законом Тверской области от 13.11.2014 № 91-ЗО «О единой дате начала применения на территории Тверской области порядка определения налоговой базы по налогу на имущество физических лиц исходя из кадастровой стоимости объектов налогообложения», законом Тверской области от 23.04.2020 № 21-ЗО «О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преобразовании муниципальных  образований, входящих  в состав террито</w:t>
      </w:r>
      <w:r>
        <w:rPr>
          <w:rFonts w:ascii="Times New Roman" w:hAnsi="Times New Roman"/>
          <w:sz w:val="28"/>
        </w:rPr>
        <w:t xml:space="preserve">рии муниципального образования Тверской области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андовский</w:t>
      </w:r>
      <w:r>
        <w:rPr>
          <w:rFonts w:ascii="Times New Roman" w:hAnsi="Times New Roman"/>
          <w:sz w:val="28"/>
        </w:rPr>
        <w:t xml:space="preserve">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</w:t>
      </w:r>
      <w:r>
        <w:rPr>
          <w:rFonts w:ascii="Times New Roman" w:hAnsi="Times New Roman"/>
          <w:sz w:val="28"/>
        </w:rPr>
        <w:t>и изменений в отдельные законы Т</w:t>
      </w:r>
      <w:r>
        <w:rPr>
          <w:rFonts w:ascii="Times New Roman" w:hAnsi="Times New Roman"/>
          <w:sz w:val="28"/>
        </w:rPr>
        <w:t>верской области»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Дума Сандовского муниципального округа </w:t>
      </w:r>
    </w:p>
    <w:p w14:paraId="0D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b w:val="0"/>
        </w:rPr>
        <w:t>РЕШИЛА</w:t>
      </w:r>
      <w:r>
        <w:rPr>
          <w:rFonts w:ascii="Times New Roman" w:hAnsi="Times New Roman"/>
          <w:b w:val="1"/>
          <w:sz w:val="28"/>
        </w:rPr>
        <w:t>:</w:t>
      </w:r>
    </w:p>
    <w:p w14:paraId="0E000000">
      <w:pPr>
        <w:ind/>
        <w:jc w:val="center"/>
        <w:rPr>
          <w:rFonts w:ascii="Times New Roman" w:hAnsi="Times New Roman"/>
          <w:sz w:val="28"/>
        </w:rPr>
      </w:pPr>
    </w:p>
    <w:p w14:paraId="0F000000">
      <w:pPr>
        <w:pStyle w:val="Style_4"/>
        <w:numPr>
          <w:ilvl w:val="0"/>
          <w:numId w:val="1"/>
        </w:numPr>
        <w:tabs>
          <w:tab w:leader="none" w:pos="1030" w:val="left"/>
        </w:tabs>
        <w:spacing w:after="0" w:before="0" w:line="322" w:lineRule="exact"/>
        <w:ind w:firstLine="800"/>
        <w:jc w:val="both"/>
      </w:pPr>
      <w:r>
        <w:t>Установить и ввести в действие с 1 января 2021 года на территории Сандовского муниципального округа Тверской области налог на имущество физических лиц (далее - налог).</w:t>
      </w:r>
    </w:p>
    <w:p w14:paraId="10000000">
      <w:pPr>
        <w:pStyle w:val="Style_4"/>
        <w:numPr>
          <w:ilvl w:val="0"/>
          <w:numId w:val="1"/>
        </w:numPr>
        <w:tabs>
          <w:tab w:leader="none" w:pos="1030" w:val="left"/>
        </w:tabs>
        <w:spacing w:after="0" w:before="0" w:line="322" w:lineRule="exact"/>
        <w:ind w:firstLine="800"/>
        <w:jc w:val="both"/>
      </w:pPr>
      <w:r>
        <w:t>Установить, что налоговая база по налогу в отношении объектов налогообложения определяется исходя из их кадастровой стоимости в соответствии со статьей 403 Налогового кодекса Российской Федерации.</w:t>
      </w:r>
    </w:p>
    <w:p w14:paraId="11000000">
      <w:pPr>
        <w:pStyle w:val="Style_4"/>
        <w:numPr>
          <w:ilvl w:val="0"/>
          <w:numId w:val="1"/>
        </w:numPr>
        <w:tabs>
          <w:tab w:leader="none" w:pos="1030" w:val="left"/>
        </w:tabs>
        <w:spacing w:after="0" w:before="0" w:line="322" w:lineRule="exact"/>
        <w:ind w:firstLine="800"/>
        <w:jc w:val="both"/>
      </w:pPr>
      <w:r>
        <w:t>Установить следующие ставки налога в зависимости от кадастровой стоимости объектов недвижимого имущества:</w:t>
      </w:r>
    </w:p>
    <w:p w14:paraId="12000000">
      <w:pPr>
        <w:pStyle w:val="Style_4"/>
        <w:tabs>
          <w:tab w:leader="none" w:pos="1030" w:val="left"/>
        </w:tabs>
        <w:spacing w:after="0" w:before="0" w:line="322" w:lineRule="exact"/>
        <w:ind w:firstLine="0" w:left="800"/>
        <w:jc w:val="both"/>
      </w:pPr>
    </w:p>
    <w:tbl>
      <w:tblPr>
        <w:tblStyle w:val="Style_5"/>
        <w:tblCellMar>
          <w:left w:type="dxa" w:w="10"/>
          <w:right w:type="dxa" w:w="10"/>
        </w:tblCellMar>
      </w:tblPr>
      <w:tblGrid>
        <w:gridCol w:w="634"/>
        <w:gridCol w:w="7090"/>
        <w:gridCol w:w="1709"/>
      </w:tblGrid>
      <w:tr>
        <w:trPr>
          <w:trHeight w:hRule="exact" w:val="864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3000000">
            <w:pPr>
              <w:pStyle w:val="Style_4"/>
              <w:spacing w:after="60" w:before="0" w:line="280" w:lineRule="exact"/>
              <w:ind w:firstLine="0" w:left="1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№</w:t>
            </w:r>
          </w:p>
          <w:p w14:paraId="14000000">
            <w:pPr>
              <w:pStyle w:val="Style_4"/>
              <w:spacing w:after="0" w:before="60" w:line="280" w:lineRule="exact"/>
              <w:ind w:firstLine="0" w:left="1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п</w:t>
            </w:r>
            <w:r>
              <w:rPr>
                <w:rStyle w:val="Style_6_ch"/>
                <w:i w:val="1"/>
              </w:rPr>
              <w:t>/</w:t>
            </w:r>
            <w:r>
              <w:rPr>
                <w:rStyle w:val="Style_6_ch"/>
                <w:i w:val="1"/>
              </w:rPr>
              <w:t>п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5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Виды объектов налогообложения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6000000">
            <w:pPr>
              <w:pStyle w:val="Style_4"/>
              <w:spacing w:after="0" w:before="0" w:line="322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 xml:space="preserve">Ставка налога, </w:t>
            </w:r>
            <w:r>
              <w:rPr>
                <w:rStyle w:val="Style_6_ch"/>
                <w:i w:val="1"/>
              </w:rPr>
              <w:t>в</w:t>
            </w:r>
            <w:r>
              <w:rPr>
                <w:rStyle w:val="Style_6_ch"/>
                <w:i w:val="1"/>
              </w:rPr>
              <w:t xml:space="preserve"> %</w:t>
            </w:r>
          </w:p>
        </w:tc>
      </w:tr>
      <w:tr>
        <w:trPr>
          <w:trHeight w:hRule="exact" w:val="542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7000000">
            <w:pPr>
              <w:pStyle w:val="Style_4"/>
              <w:spacing w:after="0" w:before="0" w:line="280" w:lineRule="exact"/>
              <w:ind w:firstLine="0" w:left="28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1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8000000">
            <w:pPr>
              <w:pStyle w:val="Style_4"/>
              <w:spacing w:after="0" w:before="0" w:line="280" w:lineRule="exact"/>
              <w:ind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Жилые дома, части жилых домов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9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0,3</w:t>
            </w:r>
          </w:p>
        </w:tc>
      </w:tr>
      <w:tr>
        <w:trPr>
          <w:trHeight w:hRule="exact" w:val="542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A000000">
            <w:pPr>
              <w:pStyle w:val="Style_4"/>
              <w:spacing w:after="0" w:before="0" w:line="280" w:lineRule="exact"/>
              <w:ind w:firstLine="0" w:left="280"/>
              <w:jc w:val="left"/>
              <w:rPr>
                <w:rStyle w:val="Style_6_ch"/>
                <w:i w:val="1"/>
              </w:rPr>
            </w:pPr>
            <w:r>
              <w:rPr>
                <w:rStyle w:val="Style_6_ch"/>
                <w:i w:val="1"/>
              </w:rPr>
              <w:t>2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B000000">
            <w:pPr>
              <w:pStyle w:val="Style_4"/>
              <w:spacing w:after="0" w:before="0" w:line="280" w:lineRule="exact"/>
              <w:ind/>
              <w:jc w:val="left"/>
              <w:rPr>
                <w:rStyle w:val="Style_6_ch"/>
                <w:i w:val="1"/>
              </w:rPr>
            </w:pPr>
            <w:r>
              <w:rPr>
                <w:rStyle w:val="Style_6_ch"/>
                <w:i w:val="1"/>
              </w:rPr>
              <w:t xml:space="preserve">квартиры, комнаты, части </w:t>
            </w:r>
            <w:r>
              <w:rPr>
                <w:rStyle w:val="Style_6_ch"/>
                <w:i w:val="1"/>
              </w:rPr>
              <w:t>квартир</w:t>
            </w:r>
            <w:r>
              <w:rPr>
                <w:rStyle w:val="Style_6_ch"/>
                <w:i w:val="1"/>
              </w:rPr>
              <w:t>,к</w:t>
            </w:r>
            <w:r>
              <w:rPr>
                <w:rStyle w:val="Style_6_ch"/>
                <w:i w:val="1"/>
              </w:rPr>
              <w:t>омнат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C000000">
            <w:pPr>
              <w:pStyle w:val="Style_4"/>
              <w:spacing w:after="0" w:before="0" w:line="280" w:lineRule="exact"/>
              <w:ind/>
              <w:rPr>
                <w:rStyle w:val="Style_6_ch"/>
                <w:i w:val="1"/>
              </w:rPr>
            </w:pPr>
            <w:r>
              <w:rPr>
                <w:rStyle w:val="Style_6_ch"/>
                <w:i w:val="1"/>
              </w:rPr>
              <w:t>0,1</w:t>
            </w:r>
          </w:p>
        </w:tc>
      </w:tr>
      <w:tr>
        <w:trPr>
          <w:trHeight w:hRule="exact" w:val="1186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D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3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E000000">
            <w:pPr>
              <w:pStyle w:val="Style_4"/>
              <w:spacing w:after="0" w:before="0" w:line="317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1F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0,1</w:t>
            </w:r>
          </w:p>
        </w:tc>
      </w:tr>
      <w:tr>
        <w:trPr>
          <w:trHeight w:hRule="exact" w:val="859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0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4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1000000">
            <w:pPr>
              <w:pStyle w:val="Style_4"/>
              <w:spacing w:after="0" w:before="0" w:line="322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Единые недвижимые комплексы, в состав которых входит хотя бы один жилой дом;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2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0,1</w:t>
            </w:r>
          </w:p>
        </w:tc>
      </w:tr>
      <w:tr>
        <w:trPr>
          <w:trHeight w:hRule="exact" w:val="533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3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5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4000000">
            <w:pPr>
              <w:pStyle w:val="Style_4"/>
              <w:spacing w:after="0" w:before="0" w:line="280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 xml:space="preserve">Гаражи, </w:t>
            </w:r>
            <w:r>
              <w:rPr>
                <w:rStyle w:val="Style_6_ch"/>
                <w:i w:val="1"/>
              </w:rPr>
              <w:t>машино-места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5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0,1</w:t>
            </w:r>
          </w:p>
        </w:tc>
      </w:tr>
      <w:tr>
        <w:trPr>
          <w:trHeight w:hRule="exact" w:val="2146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6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6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bottom"/>
          </w:tcPr>
          <w:p w14:paraId="27000000">
            <w:pPr>
              <w:pStyle w:val="Style_4"/>
              <w:spacing w:after="0" w:before="0" w:line="322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8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0,1</w:t>
            </w:r>
          </w:p>
        </w:tc>
      </w:tr>
      <w:tr>
        <w:trPr>
          <w:trHeight w:hRule="exact" w:val="1181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9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7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A000000">
            <w:pPr>
              <w:pStyle w:val="Style_4"/>
              <w:spacing w:after="0" w:before="0" w:line="322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Объекты,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B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2,0</w:t>
            </w:r>
          </w:p>
        </w:tc>
      </w:tr>
      <w:tr>
        <w:trPr>
          <w:trHeight w:hRule="exact" w:val="859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C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8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D000000">
            <w:pPr>
              <w:pStyle w:val="Style_4"/>
              <w:spacing w:after="0" w:before="0" w:line="322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Объекты налогообложения, предусмотренные пунктом 10 статьи  378.2 Налогового кодекса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E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2,0</w:t>
            </w:r>
          </w:p>
        </w:tc>
      </w:tr>
      <w:tr>
        <w:trPr>
          <w:trHeight w:hRule="exact" w:val="859"/>
        </w:trPr>
        <w:tc>
          <w:tcPr>
            <w:tcW w:type="dxa" w:w="634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2F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9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0000000">
            <w:pPr>
              <w:pStyle w:val="Style_4"/>
              <w:spacing w:after="0" w:before="0" w:line="317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1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2,0</w:t>
            </w:r>
          </w:p>
        </w:tc>
      </w:tr>
      <w:tr>
        <w:trPr>
          <w:trHeight w:hRule="exact" w:val="542"/>
        </w:trPr>
        <w:tc>
          <w:tcPr>
            <w:tcW w:type="dxa" w:w="6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2000000">
            <w:pPr>
              <w:pStyle w:val="Style_4"/>
              <w:spacing w:after="0" w:before="0" w:line="280" w:lineRule="exact"/>
              <w:ind w:firstLine="0" w:left="260"/>
              <w:jc w:val="left"/>
              <w:rPr>
                <w:i w:val="1"/>
              </w:rPr>
            </w:pPr>
            <w:r>
              <w:rPr>
                <w:rStyle w:val="Style_6_ch"/>
                <w:i w:val="1"/>
              </w:rPr>
              <w:t>10</w:t>
            </w:r>
          </w:p>
        </w:tc>
        <w:tc>
          <w:tcPr>
            <w:tcW w:type="dxa" w:w="709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3000000">
            <w:pPr>
              <w:pStyle w:val="Style_4"/>
              <w:spacing w:after="0" w:before="0" w:line="280" w:lineRule="exact"/>
              <w:ind/>
              <w:jc w:val="both"/>
              <w:rPr>
                <w:i w:val="1"/>
              </w:rPr>
            </w:pPr>
            <w:r>
              <w:rPr>
                <w:rStyle w:val="Style_6_ch"/>
                <w:i w:val="1"/>
              </w:rPr>
              <w:t>Прочие объекты налогообложения</w:t>
            </w:r>
          </w:p>
        </w:tc>
        <w:tc>
          <w:tcPr>
            <w:tcW w:type="dxa" w:w="1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10"/>
              <w:right w:type="dxa" w:w="10"/>
            </w:tcMar>
            <w:vAlign w:val="center"/>
          </w:tcPr>
          <w:p w14:paraId="34000000">
            <w:pPr>
              <w:pStyle w:val="Style_4"/>
              <w:spacing w:after="0" w:before="0" w:line="280" w:lineRule="exact"/>
              <w:ind/>
              <w:rPr>
                <w:i w:val="1"/>
              </w:rPr>
            </w:pPr>
            <w:r>
              <w:rPr>
                <w:rStyle w:val="Style_6_ch"/>
                <w:i w:val="1"/>
              </w:rPr>
              <w:t>0,5</w:t>
            </w:r>
          </w:p>
        </w:tc>
      </w:tr>
    </w:tbl>
    <w:p w14:paraId="35000000">
      <w:pPr>
        <w:pStyle w:val="Style_4"/>
        <w:tabs>
          <w:tab w:leader="none" w:pos="1038" w:val="left"/>
        </w:tabs>
        <w:spacing w:after="0" w:before="0" w:line="322" w:lineRule="exact"/>
        <w:ind/>
        <w:jc w:val="both"/>
      </w:pPr>
    </w:p>
    <w:p w14:paraId="36000000">
      <w:pPr>
        <w:pStyle w:val="Style_4"/>
        <w:tabs>
          <w:tab w:leader="none" w:pos="1038" w:val="left"/>
        </w:tabs>
        <w:spacing w:after="0" w:before="0" w:line="322" w:lineRule="exact"/>
        <w:ind/>
        <w:jc w:val="both"/>
      </w:pPr>
      <w:r>
        <w:tab/>
      </w:r>
      <w:r>
        <w:t>4.Установить, что наряду с налогоплательщиками указанными в статье 407 главы 32 Налогового кодекса Российской Федерации полностью освобождаются от уплаты налога следующие категории граждан:</w:t>
      </w:r>
    </w:p>
    <w:p w14:paraId="37000000">
      <w:pPr>
        <w:pStyle w:val="Style_4"/>
        <w:tabs>
          <w:tab w:leader="none" w:pos="1038" w:val="left"/>
        </w:tabs>
        <w:spacing w:after="0" w:before="0" w:line="322" w:lineRule="exact"/>
        <w:ind/>
        <w:jc w:val="both"/>
      </w:pPr>
      <w:r>
        <w:t>-физические лица, имеющие трех и более несовершеннолетних детей. Налоговая льгота предоставляется в отношении одного объекта налогообложения по выбору налогоплательщика. Лицо, имеющее право на налоговую льготу, предоставляет заявление о предоставлении льготы и документы, подтверждающие право налогоплательщика на налоговую льготу в налоговый орган по месту жительства в срок  до 01 декабря года, являющегося налоговым периодом, начиная с которого в отношении указанных объектов применяется налоговая льгота.</w:t>
      </w:r>
    </w:p>
    <w:p w14:paraId="38000000">
      <w:pPr>
        <w:pStyle w:val="Style_4"/>
        <w:tabs>
          <w:tab w:leader="none" w:pos="1038" w:val="left"/>
        </w:tabs>
        <w:spacing w:after="0" w:before="0" w:line="322" w:lineRule="exact"/>
        <w:ind/>
        <w:jc w:val="both"/>
      </w:pPr>
      <w:r>
        <w:tab/>
      </w:r>
      <w:r>
        <w:t xml:space="preserve">5.Настоящее решение вступает в силу с 1 января 2021 года, но не ранее </w:t>
      </w:r>
    </w:p>
    <w:p w14:paraId="39000000">
      <w:pPr>
        <w:pStyle w:val="Style_4"/>
        <w:tabs>
          <w:tab w:leader="none" w:pos="1038" w:val="left"/>
        </w:tabs>
        <w:spacing w:after="0" w:before="0" w:line="322" w:lineRule="exact"/>
        <w:ind/>
        <w:jc w:val="both"/>
      </w:pPr>
      <w:r>
        <w:t>чем по истечении одного месяца со дня его официального опубликования в газете «</w:t>
      </w:r>
      <w:r>
        <w:t>Сандовские</w:t>
      </w:r>
      <w:r>
        <w:t xml:space="preserve"> вести» и</w:t>
      </w:r>
      <w:r>
        <w:rPr>
          <w:sz w:val="26"/>
        </w:rPr>
        <w:t xml:space="preserve"> </w:t>
      </w:r>
      <w:r>
        <w:t xml:space="preserve">подлежит размещению на </w:t>
      </w:r>
      <w:r>
        <w:rPr>
          <w:rStyle w:val="Style_7_ch"/>
          <w:color w:val="000000"/>
        </w:rPr>
        <w:fldChar w:fldCharType="begin"/>
      </w:r>
      <w:r>
        <w:rPr>
          <w:rStyle w:val="Style_7_ch"/>
          <w:color w:val="000000"/>
        </w:rPr>
        <w:instrText>HYPERLINK "http://mobileonline.garant.ru/document/redirect/16335256/0"</w:instrText>
      </w:r>
      <w:r>
        <w:rPr>
          <w:rStyle w:val="Style_7_ch"/>
          <w:color w:val="000000"/>
        </w:rPr>
        <w:fldChar w:fldCharType="separate"/>
      </w:r>
      <w:r>
        <w:rPr>
          <w:rStyle w:val="Style_7_ch"/>
          <w:color w:val="000000"/>
        </w:rPr>
        <w:t>официальном сайте</w:t>
      </w:r>
      <w:r>
        <w:rPr>
          <w:rStyle w:val="Style_7_ch"/>
          <w:color w:val="000000"/>
        </w:rPr>
        <w:fldChar w:fldCharType="end"/>
      </w:r>
      <w:r>
        <w:t xml:space="preserve"> администрации Сандовского района</w:t>
      </w:r>
      <w:bookmarkStart w:id="1" w:name="_GoBack"/>
      <w:bookmarkEnd w:id="1"/>
      <w:r>
        <w:t xml:space="preserve"> Тверской области в информационно-телекоммуникационной сети "Интернет</w:t>
      </w:r>
      <w:r>
        <w:rPr>
          <w:sz w:val="26"/>
        </w:rPr>
        <w:t>".</w:t>
      </w:r>
    </w:p>
    <w:p w14:paraId="3A000000">
      <w:pPr>
        <w:pStyle w:val="Style_8"/>
        <w:rPr>
          <w:sz w:val="26"/>
        </w:rPr>
      </w:pPr>
    </w:p>
    <w:p w14:paraId="3B000000">
      <w:pPr>
        <w:pStyle w:val="Style_8"/>
        <w:rPr>
          <w:b w:val="0"/>
          <w:sz w:val="28"/>
        </w:rPr>
      </w:pPr>
      <w:r>
        <w:rPr>
          <w:b w:val="0"/>
          <w:sz w:val="28"/>
        </w:rPr>
        <w:t>Председатель Думы</w:t>
      </w:r>
    </w:p>
    <w:p w14:paraId="3C000000">
      <w:pPr>
        <w:pStyle w:val="Style_8"/>
        <w:rPr>
          <w:b w:val="0"/>
          <w:sz w:val="28"/>
        </w:rPr>
      </w:pPr>
      <w:r>
        <w:rPr>
          <w:b w:val="0"/>
          <w:sz w:val="28"/>
        </w:rPr>
        <w:t xml:space="preserve">Сандовского  муниципального округа    </w:t>
      </w:r>
      <w:r>
        <w:rPr>
          <w:b w:val="0"/>
          <w:sz w:val="28"/>
        </w:rPr>
        <w:t xml:space="preserve">                                          О.В.Смирнова</w:t>
      </w:r>
    </w:p>
    <w:sectPr>
      <w:pgSz w:h="16840" w:w="11900"/>
      <w:pgMar w:bottom="737" w:footer="6" w:gutter="0" w:header="0" w:left="1134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Arial Unicode MS" w:hAnsi="Arial Unicode MS"/>
        <w:color w:val="000000"/>
        <w:spacing w:val="0"/>
        <w:sz w:val="24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9" w:type="paragraph">
    <w:name w:val="Normal"/>
    <w:link w:val="Style_9_ch"/>
    <w:uiPriority w:val="0"/>
    <w:qFormat/>
  </w:style>
  <w:style w:default="1" w:styleId="Style_9_ch" w:type="character">
    <w:name w:val="Normal"/>
    <w:link w:val="Style_9"/>
  </w:style>
  <w:style w:styleId="Style_7" w:type="paragraph">
    <w:name w:val="Гипертекстовая ссылка"/>
    <w:basedOn w:val="Style_10"/>
    <w:link w:val="Style_7_ch"/>
    <w:rPr>
      <w:color w:val="106BBE"/>
    </w:rPr>
  </w:style>
  <w:style w:styleId="Style_7_ch" w:type="character">
    <w:name w:val="Гипертекстовая ссылка"/>
    <w:basedOn w:val="Style_10_ch"/>
    <w:link w:val="Style_7"/>
    <w:rPr>
      <w:color w:val="106BBE"/>
    </w:rPr>
  </w:style>
  <w:style w:styleId="Style_11" w:type="paragraph">
    <w:name w:val="toc 2"/>
    <w:next w:val="Style_9"/>
    <w:link w:val="Style_11_ch"/>
    <w:uiPriority w:val="39"/>
    <w:pPr>
      <w:ind w:firstLine="0" w:left="200"/>
    </w:pPr>
  </w:style>
  <w:style w:styleId="Style_11_ch" w:type="character">
    <w:name w:val="toc 2"/>
    <w:link w:val="Style_11"/>
  </w:style>
  <w:style w:styleId="Style_12" w:type="paragraph">
    <w:name w:val="toc 4"/>
    <w:next w:val="Style_9"/>
    <w:link w:val="Style_12_ch"/>
    <w:uiPriority w:val="39"/>
    <w:pPr>
      <w:ind w:firstLine="0" w:left="600"/>
    </w:pPr>
  </w:style>
  <w:style w:styleId="Style_12_ch" w:type="character">
    <w:name w:val="toc 4"/>
    <w:link w:val="Style_12"/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toc 6"/>
    <w:next w:val="Style_9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9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heading 3"/>
    <w:next w:val="Style_9"/>
    <w:link w:val="Style_16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16_ch" w:type="character">
    <w:name w:val="heading 3"/>
    <w:link w:val="Style_16"/>
    <w:rPr>
      <w:rFonts w:ascii="XO Thames" w:hAnsi="XO Thames"/>
      <w:b w:val="1"/>
      <w:i w:val="1"/>
    </w:rPr>
  </w:style>
  <w:style w:styleId="Style_4" w:type="paragraph">
    <w:name w:val="Основной текст (2)"/>
    <w:basedOn w:val="Style_9"/>
    <w:link w:val="Style_4_ch"/>
    <w:pPr>
      <w:spacing w:after="420" w:before="420" w:line="0" w:lineRule="atLeast"/>
      <w:ind/>
      <w:jc w:val="center"/>
    </w:pPr>
    <w:rPr>
      <w:rFonts w:ascii="Times New Roman" w:hAnsi="Times New Roman"/>
      <w:sz w:val="28"/>
    </w:rPr>
  </w:style>
  <w:style w:styleId="Style_4_ch" w:type="character">
    <w:name w:val="Основной текст (2)"/>
    <w:basedOn w:val="Style_9_ch"/>
    <w:link w:val="Style_4"/>
    <w:rPr>
      <w:rFonts w:ascii="Times New Roman" w:hAnsi="Times New Roman"/>
      <w:sz w:val="28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7" w:type="paragraph">
    <w:name w:val="Основной текст (3)"/>
    <w:basedOn w:val="Style_9"/>
    <w:link w:val="Style_17_ch"/>
    <w:pPr>
      <w:spacing w:after="300" w:line="370" w:lineRule="exact"/>
      <w:ind/>
      <w:jc w:val="center"/>
    </w:pPr>
    <w:rPr>
      <w:rFonts w:ascii="Times New Roman" w:hAnsi="Times New Roman"/>
      <w:b w:val="1"/>
      <w:sz w:val="32"/>
    </w:rPr>
  </w:style>
  <w:style w:styleId="Style_17_ch" w:type="character">
    <w:name w:val="Основной текст (3)"/>
    <w:basedOn w:val="Style_9_ch"/>
    <w:link w:val="Style_17"/>
    <w:rPr>
      <w:rFonts w:ascii="Times New Roman" w:hAnsi="Times New Roman"/>
      <w:b w:val="1"/>
      <w:sz w:val="32"/>
    </w:rPr>
  </w:style>
  <w:style w:styleId="Style_18" w:type="paragraph">
    <w:name w:val="toc 3"/>
    <w:next w:val="Style_9"/>
    <w:link w:val="Style_18_ch"/>
    <w:uiPriority w:val="39"/>
    <w:pPr>
      <w:ind w:firstLine="0" w:left="400"/>
    </w:pPr>
  </w:style>
  <w:style w:styleId="Style_18_ch" w:type="character">
    <w:name w:val="toc 3"/>
    <w:link w:val="Style_18"/>
  </w:style>
  <w:style w:styleId="Style_19" w:type="paragraph">
    <w:name w:val="No Spacing"/>
    <w:link w:val="Style_19_ch"/>
  </w:style>
  <w:style w:styleId="Style_19_ch" w:type="character">
    <w:name w:val="No Spacing"/>
    <w:link w:val="Style_19"/>
  </w:style>
  <w:style w:styleId="Style_1" w:type="paragraph">
    <w:name w:val="Заголовок"/>
    <w:basedOn w:val="Style_9"/>
    <w:next w:val="Style_20"/>
    <w:link w:val="Style_1_ch"/>
    <w:pPr>
      <w:keepNext w:val="1"/>
      <w:spacing w:after="120" w:before="240"/>
      <w:ind/>
    </w:pPr>
    <w:rPr>
      <w:rFonts w:ascii="Arial" w:hAnsi="Arial"/>
      <w:sz w:val="28"/>
    </w:rPr>
  </w:style>
  <w:style w:styleId="Style_1_ch" w:type="character">
    <w:name w:val="Заголовок"/>
    <w:basedOn w:val="Style_9_ch"/>
    <w:link w:val="Style_1"/>
    <w:rPr>
      <w:rFonts w:ascii="Arial" w:hAnsi="Arial"/>
      <w:sz w:val="28"/>
    </w:rPr>
  </w:style>
  <w:style w:styleId="Style_21" w:type="paragraph">
    <w:name w:val="Гиперссылка1"/>
    <w:basedOn w:val="Style_10"/>
    <w:link w:val="Style_21_ch"/>
    <w:rPr>
      <w:color w:val="0066CC"/>
      <w:u w:val="single"/>
    </w:rPr>
  </w:style>
  <w:style w:styleId="Style_21_ch" w:type="character">
    <w:name w:val="Гиперссылка1"/>
    <w:basedOn w:val="Style_10_ch"/>
    <w:link w:val="Style_21"/>
    <w:rPr>
      <w:color w:val="0066CC"/>
      <w:u w:val="single"/>
    </w:rPr>
  </w:style>
  <w:style w:styleId="Style_22" w:type="paragraph">
    <w:name w:val="Обычный1"/>
    <w:link w:val="Style_22_ch"/>
    <w:rPr>
      <w:color w:val="000000"/>
    </w:rPr>
  </w:style>
  <w:style w:styleId="Style_22_ch" w:type="character">
    <w:name w:val="Обычный1"/>
    <w:link w:val="Style_22"/>
    <w:rPr>
      <w:color w:val="000000"/>
    </w:rPr>
  </w:style>
  <w:style w:styleId="Style_23" w:type="paragraph">
    <w:name w:val="ConsPlusNormal"/>
    <w:link w:val="Style_23_ch"/>
    <w:rPr>
      <w:rFonts w:ascii="Calibri" w:hAnsi="Calibri"/>
      <w:sz w:val="22"/>
    </w:rPr>
  </w:style>
  <w:style w:styleId="Style_23_ch" w:type="character">
    <w:name w:val="ConsPlusNormal"/>
    <w:link w:val="Style_23"/>
    <w:rPr>
      <w:rFonts w:ascii="Calibri" w:hAnsi="Calibri"/>
      <w:sz w:val="22"/>
    </w:rPr>
  </w:style>
  <w:style w:styleId="Style_24" w:type="paragraph">
    <w:name w:val="heading 5"/>
    <w:next w:val="Style_9"/>
    <w:link w:val="Style_24_ch"/>
    <w:uiPriority w:val="9"/>
    <w:qFormat/>
    <w:pPr>
      <w:spacing w:after="120" w:before="120"/>
      <w:ind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9"/>
    <w:link w:val="Style_2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2" w:type="paragraph">
    <w:name w:val="Основной текст (4)"/>
    <w:basedOn w:val="Style_9"/>
    <w:link w:val="Style_2_ch"/>
    <w:pPr>
      <w:spacing w:after="600" w:before="420" w:line="274" w:lineRule="exact"/>
      <w:ind/>
      <w:jc w:val="both"/>
    </w:pPr>
    <w:rPr>
      <w:rFonts w:ascii="Times New Roman" w:hAnsi="Times New Roman"/>
      <w:b w:val="1"/>
    </w:rPr>
  </w:style>
  <w:style w:styleId="Style_2_ch" w:type="character">
    <w:name w:val="Основной текст (4)"/>
    <w:basedOn w:val="Style_9_ch"/>
    <w:link w:val="Style_2"/>
    <w:rPr>
      <w:rFonts w:ascii="Times New Roman" w:hAnsi="Times New Roman"/>
      <w:b w:val="1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toc 1"/>
    <w:next w:val="Style_9"/>
    <w:link w:val="Style_28_ch"/>
    <w:uiPriority w:val="39"/>
    <w:rPr>
      <w:rFonts w:ascii="XO Thames" w:hAnsi="XO Thames"/>
      <w:b w:val="1"/>
    </w:rPr>
  </w:style>
  <w:style w:styleId="Style_28_ch" w:type="character">
    <w:name w:val="toc 1"/>
    <w:link w:val="Style_28"/>
    <w:rPr>
      <w:rFonts w:ascii="XO Thames" w:hAnsi="XO Thames"/>
      <w:b w:val="1"/>
    </w:rPr>
  </w:style>
  <w:style w:styleId="Style_29" w:type="paragraph">
    <w:name w:val="Balloon Text"/>
    <w:basedOn w:val="Style_9"/>
    <w:link w:val="Style_29_ch"/>
    <w:rPr>
      <w:rFonts w:ascii="Tahoma" w:hAnsi="Tahoma"/>
      <w:sz w:val="16"/>
    </w:rPr>
  </w:style>
  <w:style w:styleId="Style_29_ch" w:type="character">
    <w:name w:val="Balloon Text"/>
    <w:basedOn w:val="Style_9_ch"/>
    <w:link w:val="Style_29"/>
    <w:rPr>
      <w:rFonts w:ascii="Tahoma" w:hAnsi="Tahoma"/>
      <w:sz w:val="16"/>
    </w:rPr>
  </w:style>
  <w:style w:styleId="Style_30" w:type="paragraph">
    <w:name w:val="Header and Footer"/>
    <w:link w:val="Style_30_ch"/>
    <w:pPr>
      <w:spacing w:line="360" w:lineRule="auto"/>
      <w:ind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toc 9"/>
    <w:next w:val="Style_9"/>
    <w:link w:val="Style_31_ch"/>
    <w:uiPriority w:val="39"/>
    <w:pPr>
      <w:ind w:firstLine="0" w:left="1600"/>
    </w:pPr>
  </w:style>
  <w:style w:styleId="Style_31_ch" w:type="character">
    <w:name w:val="toc 9"/>
    <w:link w:val="Style_31"/>
  </w:style>
  <w:style w:styleId="Style_32" w:type="paragraph">
    <w:name w:val="toc 8"/>
    <w:next w:val="Style_9"/>
    <w:link w:val="Style_32_ch"/>
    <w:uiPriority w:val="39"/>
    <w:pPr>
      <w:ind w:firstLine="0" w:left="1400"/>
    </w:pPr>
  </w:style>
  <w:style w:styleId="Style_32_ch" w:type="character">
    <w:name w:val="toc 8"/>
    <w:link w:val="Style_32"/>
  </w:style>
  <w:style w:styleId="Style_33" w:type="paragraph">
    <w:name w:val="toc 5"/>
    <w:next w:val="Style_9"/>
    <w:link w:val="Style_33_ch"/>
    <w:uiPriority w:val="39"/>
    <w:pPr>
      <w:ind w:firstLine="0" w:left="800"/>
    </w:pPr>
  </w:style>
  <w:style w:styleId="Style_33_ch" w:type="character">
    <w:name w:val="toc 5"/>
    <w:link w:val="Style_33"/>
  </w:style>
  <w:style w:styleId="Style_6" w:type="paragraph">
    <w:name w:val="Основной текст (2)"/>
    <w:basedOn w:val="Style_4"/>
    <w:link w:val="Style_6_ch"/>
  </w:style>
  <w:style w:styleId="Style_6_ch" w:type="character">
    <w:name w:val="Основной текст (2)"/>
    <w:basedOn w:val="Style_4_ch"/>
    <w:link w:val="Style_6"/>
  </w:style>
  <w:style w:styleId="Style_3" w:type="paragraph">
    <w:name w:val="Основной текст (2) + Полужирный"/>
    <w:basedOn w:val="Style_4"/>
    <w:link w:val="Style_3_ch"/>
    <w:rPr>
      <w:b w:val="1"/>
    </w:rPr>
  </w:style>
  <w:style w:styleId="Style_3_ch" w:type="character">
    <w:name w:val="Основной текст (2) + Полужирный"/>
    <w:basedOn w:val="Style_4_ch"/>
    <w:link w:val="Style_3"/>
    <w:rPr>
      <w:b w:val="1"/>
    </w:rPr>
  </w:style>
  <w:style w:styleId="Style_8" w:type="paragraph">
    <w:name w:val="Subtitle"/>
    <w:basedOn w:val="Style_9"/>
    <w:next w:val="Style_20"/>
    <w:link w:val="Style_8_ch"/>
    <w:uiPriority w:val="11"/>
    <w:qFormat/>
    <w:rPr>
      <w:rFonts w:ascii="Times New Roman" w:hAnsi="Times New Roman"/>
      <w:b w:val="1"/>
      <w:sz w:val="20"/>
    </w:rPr>
  </w:style>
  <w:style w:styleId="Style_8_ch" w:type="character">
    <w:name w:val="Subtitle"/>
    <w:basedOn w:val="Style_9_ch"/>
    <w:link w:val="Style_8"/>
    <w:rPr>
      <w:rFonts w:ascii="Times New Roman" w:hAnsi="Times New Roman"/>
      <w:b w:val="1"/>
      <w:sz w:val="20"/>
    </w:rPr>
  </w:style>
  <w:style w:styleId="Style_20" w:type="paragraph">
    <w:name w:val="Body Text"/>
    <w:basedOn w:val="Style_9"/>
    <w:link w:val="Style_20_ch"/>
    <w:pPr>
      <w:spacing w:after="120"/>
      <w:ind/>
    </w:pPr>
  </w:style>
  <w:style w:styleId="Style_20_ch" w:type="character">
    <w:name w:val="Body Text"/>
    <w:basedOn w:val="Style_9_ch"/>
    <w:link w:val="Style_20"/>
  </w:style>
  <w:style w:styleId="Style_34" w:type="paragraph">
    <w:name w:val="toc 10"/>
    <w:next w:val="Style_9"/>
    <w:link w:val="Style_34_ch"/>
    <w:uiPriority w:val="39"/>
    <w:pPr>
      <w:ind w:firstLine="0" w:left="1800"/>
    </w:pPr>
  </w:style>
  <w:style w:styleId="Style_34_ch" w:type="character">
    <w:name w:val="toc 10"/>
    <w:link w:val="Style_34"/>
  </w:style>
  <w:style w:styleId="Style_35" w:type="paragraph">
    <w:name w:val="Title"/>
    <w:next w:val="Style_9"/>
    <w:link w:val="Style_35_ch"/>
    <w:uiPriority w:val="10"/>
    <w:qFormat/>
    <w:rPr>
      <w:rFonts w:ascii="XO Thames" w:hAnsi="XO Thames"/>
      <w:b w:val="1"/>
      <w:sz w:val="52"/>
    </w:rPr>
  </w:style>
  <w:style w:styleId="Style_35_ch" w:type="character">
    <w:name w:val="Title"/>
    <w:link w:val="Style_35"/>
    <w:rPr>
      <w:rFonts w:ascii="XO Thames" w:hAnsi="XO Thames"/>
      <w:b w:val="1"/>
      <w:sz w:val="52"/>
    </w:rPr>
  </w:style>
  <w:style w:styleId="Style_36" w:type="paragraph">
    <w:name w:val="heading 4"/>
    <w:next w:val="Style_9"/>
    <w:link w:val="Style_36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_ch" w:type="character">
    <w:name w:val="heading 4"/>
    <w:link w:val="Style_36"/>
    <w:rPr>
      <w:rFonts w:ascii="XO Thames" w:hAnsi="XO Thames"/>
      <w:b w:val="1"/>
      <w:color w:val="595959"/>
      <w:sz w:val="26"/>
    </w:rPr>
  </w:style>
  <w:style w:styleId="Style_37" w:type="paragraph">
    <w:name w:val="heading 2"/>
    <w:next w:val="Style_9"/>
    <w:link w:val="Style_37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7_ch" w:type="character">
    <w:name w:val="heading 2"/>
    <w:link w:val="Style_37"/>
    <w:rPr>
      <w:rFonts w:ascii="XO Thames" w:hAnsi="XO Thames"/>
      <w:b w:val="1"/>
      <w:color w:val="00A0FF"/>
      <w:sz w:val="2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2020-10-08T06:40:14Z</dcterms:modified>
</cp:coreProperties>
</file>