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778"/>
        <w:gridCol w:w="284"/>
        <w:gridCol w:w="3827"/>
      </w:tblGrid>
      <w:tr>
        <w:tc>
          <w:tcPr>
            <w:tcW w:type="dxa" w:w="9889"/>
            <w:gridSpan w:val="3"/>
          </w:tcPr>
          <w:p w14:paraId="01000000">
            <w:pPr>
              <w:pStyle w:val="Style_2"/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</w:pPr>
          </w:p>
          <w:p w14:paraId="03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pStyle w:val="Style_4"/>
              <w:rPr>
                <w:sz w:val="28"/>
              </w:rPr>
            </w:pPr>
            <w:r>
              <w:rPr>
                <w:b w:val="0"/>
                <w:sz w:val="28"/>
              </w:rPr>
              <w:t xml:space="preserve">22.09.2020  </w:t>
            </w:r>
            <w:r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                          </w:t>
            </w:r>
            <w:r>
              <w:rPr>
                <w:b w:val="0"/>
                <w:sz w:val="28"/>
              </w:rPr>
              <w:t>пгт</w:t>
            </w:r>
            <w:r>
              <w:rPr>
                <w:b w:val="0"/>
                <w:sz w:val="28"/>
              </w:rPr>
              <w:t xml:space="preserve">. </w:t>
            </w:r>
            <w:r>
              <w:rPr>
                <w:b w:val="0"/>
                <w:sz w:val="28"/>
              </w:rPr>
              <w:t>Сандово                                                 № 1</w:t>
            </w:r>
          </w:p>
        </w:tc>
      </w:tr>
      <w:tr>
        <w:tc>
          <w:tcPr>
            <w:tcW w:type="dxa" w:w="5778"/>
            <w:shd w:fill="auto" w:val="clear"/>
          </w:tcPr>
          <w:p w14:paraId="07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84"/>
            <w:shd w:fill="auto" w:val="clea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7"/>
            <w:shd w:fill="auto" w:val="clear"/>
          </w:tcPr>
          <w:p w14:paraId="09000000">
            <w:pPr>
              <w:widowControl w:val="0"/>
              <w:tabs>
                <w:tab w:leader="none" w:pos="4358" w:val="left"/>
              </w:tabs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</w:tc>
      </w:tr>
      <w:tr>
        <w:tc>
          <w:tcPr>
            <w:tcW w:type="dxa" w:w="5778"/>
            <w:shd w:fill="auto" w:val="clear"/>
          </w:tcPr>
          <w:p w14:paraId="0A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  <w:p w14:paraId="0B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определении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голосования</w:t>
            </w:r>
          </w:p>
          <w:p w14:paraId="0C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вопросам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повестки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первого</w:t>
            </w:r>
          </w:p>
          <w:p w14:paraId="0D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type="dxa" w:w="284"/>
            <w:shd w:fill="auto" w:val="clear"/>
          </w:tcPr>
          <w:p w14:paraId="0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7"/>
            <w:shd w:fill="auto" w:val="clear"/>
          </w:tcPr>
          <w:p w14:paraId="0F000000">
            <w:pPr>
              <w:widowControl w:val="0"/>
              <w:tabs>
                <w:tab w:leader="none" w:pos="4358" w:val="left"/>
              </w:tabs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</w:p>
        </w:tc>
      </w:tr>
      <w:tr>
        <w:tc>
          <w:tcPr>
            <w:tcW w:type="dxa" w:w="5778"/>
            <w:shd w:fill="auto" w:val="clear"/>
          </w:tcPr>
          <w:p w14:paraId="10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11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7"/>
            <w:shd w:fill="auto" w:val="clear"/>
          </w:tcPr>
          <w:p w14:paraId="13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14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35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23.04.2020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21-</w:t>
      </w:r>
      <w:r>
        <w:rPr>
          <w:rFonts w:ascii="Times New Roman" w:hAnsi="Times New Roman"/>
          <w:sz w:val="28"/>
        </w:rPr>
        <w:t>ЗО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входящих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5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9000000">
            <w:pPr>
              <w:pStyle w:val="Style_3"/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0"/>
              </w:rPr>
              <w:t xml:space="preserve">       РЕШИЛА:</w:t>
            </w:r>
          </w:p>
        </w:tc>
        <w:tc>
          <w:tcPr>
            <w:tcW w:type="dxa" w:w="1418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D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E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Определить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повестки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заседания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открытого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большинством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голосов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.</w:t>
      </w:r>
    </w:p>
    <w:p w14:paraId="1F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момента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>.</w:t>
      </w:r>
    </w:p>
    <w:p w14:paraId="20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3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4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5000000">
      <w:pPr>
        <w:widowControl w:val="0"/>
        <w:tabs>
          <w:tab w:leader="none" w:pos="1020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О.В.Смирнова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1134" w:footer="720" w:gutter="0" w:header="720" w:left="1134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ms Rmn" w:hAnsi="Tms Rmn"/>
    </w:rPr>
  </w:style>
  <w:style w:default="1" w:styleId="Style_5_ch" w:type="character">
    <w:name w:val="Normal"/>
    <w:link w:val="Style_5"/>
    <w:rPr>
      <w:rFonts w:ascii="Tms Rmn" w:hAnsi="Tms Rmn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4_ch" w:type="character">
    <w:name w:val="heading 1"/>
    <w:basedOn w:val="Style_5_ch"/>
    <w:link w:val="Style_14"/>
    <w:rPr>
      <w:rFonts w:ascii="Arial" w:hAnsi="Arial"/>
      <w:b w:val="1"/>
      <w:sz w:val="3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3" w:type="paragraph">
    <w:name w:val="Heading"/>
    <w:basedOn w:val="Style_5"/>
    <w:next w:val="Style_5"/>
    <w:link w:val="Style_3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3_ch" w:type="character">
    <w:name w:val="Heading"/>
    <w:basedOn w:val="Style_5_ch"/>
    <w:link w:val="Style_3"/>
    <w:rPr>
      <w:rFonts w:ascii="Arial" w:hAnsi="Arial"/>
      <w:color w:val="00000A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ConsPlusNormal"/>
    <w:link w:val="Style_23_ch"/>
    <w:rPr>
      <w:sz w:val="28"/>
    </w:rPr>
  </w:style>
  <w:style w:styleId="Style_23_ch" w:type="character">
    <w:name w:val="ConsPlusNormal"/>
    <w:link w:val="Style_23"/>
    <w:rPr>
      <w:sz w:val="28"/>
    </w:rPr>
  </w:style>
  <w:style w:styleId="Style_4" w:type="paragraph">
    <w:name w:val="Subtitle"/>
    <w:basedOn w:val="Style_5"/>
    <w:next w:val="Style_5"/>
    <w:link w:val="Style_4_ch"/>
    <w:uiPriority w:val="11"/>
    <w:qFormat/>
    <w:rPr>
      <w:rFonts w:ascii="Times New Roman" w:hAnsi="Times New Roman"/>
      <w:b w:val="1"/>
      <w:sz w:val="24"/>
    </w:rPr>
  </w:style>
  <w:style w:styleId="Style_4_ch" w:type="character">
    <w:name w:val="Subtitle"/>
    <w:basedOn w:val="Style_5_ch"/>
    <w:link w:val="Style_4"/>
    <w:rPr>
      <w:rFonts w:ascii="Times New Roman" w:hAnsi="Times New Roman"/>
      <w:b w:val="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" w:type="paragraph">
    <w:name w:val="Title"/>
    <w:basedOn w:val="Style_5"/>
    <w:next w:val="Style_5"/>
    <w:link w:val="Style_2_ch"/>
    <w:uiPriority w:val="10"/>
    <w:qFormat/>
    <w:pPr>
      <w:ind/>
      <w:jc w:val="center"/>
    </w:pPr>
    <w:rPr>
      <w:rFonts w:ascii="Times New Roman" w:hAnsi="Times New Roman"/>
      <w:b w:val="1"/>
      <w:sz w:val="24"/>
    </w:rPr>
  </w:style>
  <w:style w:styleId="Style_2_ch" w:type="character">
    <w:name w:val="Title"/>
    <w:basedOn w:val="Style_5_ch"/>
    <w:link w:val="Style_2"/>
    <w:rPr>
      <w:rFonts w:ascii="Times New Roman" w:hAnsi="Times New Roman"/>
      <w:b w:val="1"/>
      <w:sz w:val="24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2020-09-22T13:26:04Z</dcterms:modified>
</cp:coreProperties>
</file>