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882"/>
      </w:tblGrid>
      <w:tr>
        <w:tc>
          <w:tcPr>
            <w:tcW w:type="dxa" w:w="10063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</w:t>
            </w: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22.09.2020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пгт. Сандово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№ 14</w:t>
            </w:r>
          </w:p>
          <w:p w14:paraId="06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5495"/>
            <w:shd w:fill="auto" w:val="clear"/>
          </w:tcPr>
          <w:p w14:paraId="07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9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  <w:tr>
        <w:tc>
          <w:tcPr>
            <w:tcW w:type="dxa" w:w="5495"/>
            <w:shd w:fill="auto" w:val="clear"/>
          </w:tcPr>
          <w:p w14:paraId="0A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ликвидации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совет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</w:rPr>
              <w:t>поселени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«Поселок Сандово» 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наделенн</w:t>
            </w:r>
            <w:r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правами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юридического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лица</w:t>
            </w:r>
          </w:p>
        </w:tc>
        <w:tc>
          <w:tcPr>
            <w:tcW w:type="dxa" w:w="284"/>
            <w:shd w:fill="auto" w:val="clea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C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  <w:tr>
        <w:tc>
          <w:tcPr>
            <w:tcW w:type="dxa" w:w="5495"/>
            <w:shd w:fill="auto" w:val="clear"/>
          </w:tcPr>
          <w:p w14:paraId="0D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0E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0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82"/>
          </w:tcPr>
          <w:p/>
        </w:tc>
      </w:tr>
    </w:tbl>
    <w:p w14:paraId="11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статьями</w:t>
      </w:r>
      <w:r>
        <w:rPr>
          <w:rFonts w:ascii="Times New Roman" w:hAnsi="Times New Roman"/>
          <w:sz w:val="28"/>
        </w:rPr>
        <w:t xml:space="preserve"> 61, 62, 63, 64 </w:t>
      </w:r>
      <w:r>
        <w:rPr>
          <w:rFonts w:ascii="Times New Roman" w:hAnsi="Times New Roman"/>
          <w:sz w:val="28"/>
        </w:rPr>
        <w:t>Гражданского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131-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08.08.2001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129-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предпринимателей»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23.04.2020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21-</w:t>
      </w:r>
      <w:r>
        <w:rPr>
          <w:rFonts w:ascii="Times New Roman" w:hAnsi="Times New Roman"/>
          <w:sz w:val="28"/>
        </w:rPr>
        <w:t>ЗО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входящих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2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3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4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5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РЕШИЛА:</w:t>
            </w:r>
          </w:p>
        </w:tc>
        <w:tc>
          <w:tcPr>
            <w:tcW w:type="dxa" w:w="1418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B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Ликвидировать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«Поселок Сандово» Сандовского района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(ОГРН 1056904022471</w:t>
      </w:r>
      <w:r>
        <w:rPr>
          <w:rFonts w:ascii="Times New Roman" w:hAnsi="Times New Roman"/>
          <w:sz w:val="28"/>
        </w:rPr>
        <w:t xml:space="preserve">, Тверская область,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район, </w:t>
      </w:r>
      <w:r>
        <w:rPr>
          <w:rFonts w:ascii="Times New Roman" w:hAnsi="Times New Roman"/>
          <w:sz w:val="28"/>
        </w:rPr>
        <w:t>пгт Сандово</w:t>
      </w:r>
      <w:r>
        <w:rPr>
          <w:rFonts w:ascii="Times New Roman" w:hAnsi="Times New Roman"/>
          <w:sz w:val="28"/>
        </w:rPr>
        <w:t>, ул.</w:t>
      </w:r>
      <w:r>
        <w:t xml:space="preserve"> </w:t>
      </w:r>
      <w:r>
        <w:rPr>
          <w:rFonts w:ascii="Times New Roman" w:hAnsi="Times New Roman"/>
          <w:sz w:val="28"/>
        </w:rPr>
        <w:t>Советская</w:t>
      </w:r>
      <w:r>
        <w:rPr>
          <w:rFonts w:ascii="Times New Roman" w:hAnsi="Times New Roman"/>
          <w:sz w:val="28"/>
        </w:rPr>
        <w:t>. д.</w:t>
      </w:r>
      <w:r>
        <w:t xml:space="preserve">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наделенны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.</w:t>
      </w:r>
    </w:p>
    <w:p w14:paraId="1C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Образовать ликвидацио</w:t>
      </w:r>
      <w:r>
        <w:rPr>
          <w:rFonts w:ascii="Times New Roman" w:hAnsi="Times New Roman"/>
          <w:sz w:val="28"/>
        </w:rPr>
        <w:t>нную комиссию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городского поселения «Поселок Сандово» Сандовского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утвердив ее 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№1)</w:t>
      </w:r>
      <w:r>
        <w:rPr>
          <w:rFonts w:ascii="Times New Roman" w:hAnsi="Times New Roman"/>
          <w:sz w:val="28"/>
        </w:rPr>
        <w:t>.</w:t>
      </w:r>
    </w:p>
    <w:p w14:paraId="1D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Установить срок 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 поселения «Поселок Сандово» Сандовского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шести месяцев со дня вступления в силу</w:t>
      </w:r>
      <w:r>
        <w:rPr>
          <w:rFonts w:ascii="Times New Roman" w:hAnsi="Times New Roman"/>
          <w:sz w:val="28"/>
        </w:rPr>
        <w:t xml:space="preserve"> настоящего решения</w:t>
      </w:r>
      <w:r>
        <w:rPr>
          <w:rFonts w:ascii="Times New Roman" w:hAnsi="Times New Roman"/>
          <w:sz w:val="28"/>
        </w:rPr>
        <w:t>.</w:t>
      </w:r>
    </w:p>
    <w:p w14:paraId="1E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Полномочия по уведомлению Межрайонной инспекции Федеральной налоговой службы </w:t>
      </w:r>
      <w:r>
        <w:rPr>
          <w:rFonts w:ascii="Times New Roman" w:hAnsi="Times New Roman"/>
          <w:color w:val="000000"/>
          <w:sz w:val="28"/>
        </w:rPr>
        <w:t>России №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sz w:val="28"/>
        </w:rPr>
        <w:t xml:space="preserve"> по Тверской области о ликвидации и подаче документов о прекращении деятельности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городского поселения «Поселок Сандово» Сандовского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возложить на члена</w:t>
      </w:r>
      <w:r>
        <w:rPr>
          <w:rFonts w:ascii="Times New Roman" w:hAnsi="Times New Roman"/>
          <w:sz w:val="28"/>
        </w:rPr>
        <w:t xml:space="preserve"> ликвидационной комиссии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Белову Наталию Николаевну</w:t>
      </w:r>
      <w:r>
        <w:rPr>
          <w:rFonts w:ascii="Times New Roman" w:hAnsi="Times New Roman"/>
          <w:sz w:val="28"/>
        </w:rPr>
        <w:t>.</w:t>
      </w:r>
    </w:p>
    <w:p w14:paraId="1F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момента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ликвидационной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переходят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городского поселения «Поселок Сандово» Сандовского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14:paraId="20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Установить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кредиторами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«Поселок Сандово» Сандовского района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момента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«Поселок Сандово» Сандовского района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, наделенного</w:t>
      </w:r>
      <w:r>
        <w:rPr>
          <w:rFonts w:ascii="Times New Roman" w:hAnsi="Times New Roman"/>
          <w:sz w:val="28"/>
        </w:rPr>
        <w:t xml:space="preserve"> правами юридического лица,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журнале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Вестник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регистрации»</w:t>
      </w:r>
      <w:r>
        <w:rPr>
          <w:rFonts w:ascii="Times New Roman" w:hAnsi="Times New Roman"/>
          <w:sz w:val="28"/>
        </w:rPr>
        <w:t>.</w:t>
      </w:r>
    </w:p>
    <w:p w14:paraId="21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«Поселок Сандово» Сандовского района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22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Имущество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«Поселок Сандово» Сандовского района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оставшееся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ликвидационных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передать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казну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14:paraId="23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Финансирование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«Поселок Сандово» Сандовского района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31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«Поселок Сандово» Сандовского района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01 </w:t>
      </w:r>
      <w:r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Сандовский </w:t>
      </w:r>
      <w:r>
        <w:rPr>
          <w:rFonts w:ascii="Times New Roman" w:hAnsi="Times New Roman"/>
          <w:sz w:val="28"/>
        </w:rPr>
        <w:t xml:space="preserve">муниципальный округ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14:paraId="24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>О.В.Смирнова</w:t>
      </w:r>
    </w:p>
    <w:p w14:paraId="2A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 w14:paraId="2C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2D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0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6000000">
      <w:pPr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14:paraId="37000000">
      <w:pPr>
        <w:ind w:firstLine="0" w:left="53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Думы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от 22.09.2020г  № </w:t>
      </w:r>
      <w:r>
        <w:rPr>
          <w:rFonts w:ascii="Times New Roman" w:hAnsi="Times New Roman"/>
          <w:sz w:val="24"/>
        </w:rPr>
        <w:t>14</w:t>
      </w:r>
    </w:p>
    <w:p w14:paraId="3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3A000000">
      <w:pPr>
        <w:pStyle w:val="Style_3"/>
        <w:tabs>
          <w:tab w:leader="none" w:pos="1080" w:val="left"/>
        </w:tabs>
        <w:ind/>
        <w:jc w:val="center"/>
        <w:rPr>
          <w:b w:val="1"/>
        </w:rPr>
      </w:pPr>
      <w:r>
        <w:rPr>
          <w:b w:val="1"/>
        </w:rPr>
        <w:t>Состав</w:t>
      </w:r>
    </w:p>
    <w:p w14:paraId="3B000000">
      <w:pPr>
        <w:pStyle w:val="Style_3"/>
        <w:tabs>
          <w:tab w:leader="none" w:pos="1080" w:val="left"/>
        </w:tabs>
        <w:ind/>
        <w:jc w:val="center"/>
      </w:pPr>
      <w:r>
        <w:rPr>
          <w:b w:val="1"/>
        </w:rPr>
        <w:t xml:space="preserve">ликвидационной комиссии </w:t>
      </w:r>
      <w:r>
        <w:rPr>
          <w:b w:val="1"/>
        </w:rPr>
        <w:t>Совета</w:t>
      </w:r>
      <w:r>
        <w:rPr>
          <w:b w:val="1"/>
        </w:rPr>
        <w:t xml:space="preserve"> </w:t>
      </w:r>
      <w:r>
        <w:rPr>
          <w:b w:val="1"/>
        </w:rPr>
        <w:t>депутатов</w:t>
      </w:r>
      <w:r>
        <w:rPr>
          <w:b w:val="1"/>
        </w:rPr>
        <w:t xml:space="preserve"> </w:t>
      </w:r>
      <w:r>
        <w:rPr>
          <w:b w:val="1"/>
        </w:rPr>
        <w:t>городского</w:t>
      </w:r>
      <w:r>
        <w:rPr>
          <w:b w:val="1"/>
        </w:rPr>
        <w:t xml:space="preserve"> </w:t>
      </w:r>
      <w:r>
        <w:rPr>
          <w:b w:val="1"/>
        </w:rPr>
        <w:t>поселения</w:t>
      </w:r>
      <w:r>
        <w:rPr>
          <w:b w:val="1"/>
        </w:rPr>
        <w:t xml:space="preserve"> «</w:t>
      </w:r>
      <w:r>
        <w:rPr>
          <w:b w:val="1"/>
        </w:rPr>
        <w:t>Поселок</w:t>
      </w:r>
      <w:r>
        <w:rPr>
          <w:b w:val="1"/>
        </w:rPr>
        <w:t xml:space="preserve"> </w:t>
      </w:r>
      <w:r>
        <w:rPr>
          <w:b w:val="1"/>
        </w:rPr>
        <w:t>Сандово»</w:t>
      </w:r>
      <w:r>
        <w:rPr>
          <w:b w:val="1"/>
        </w:rPr>
        <w:t xml:space="preserve"> </w:t>
      </w:r>
      <w:r>
        <w:rPr>
          <w:b w:val="1"/>
        </w:rPr>
        <w:t>Сандовского</w:t>
      </w:r>
      <w:r>
        <w:rPr>
          <w:b w:val="1"/>
        </w:rPr>
        <w:t xml:space="preserve"> </w:t>
      </w:r>
      <w:r>
        <w:rPr>
          <w:b w:val="1"/>
        </w:rPr>
        <w:t>района</w:t>
      </w:r>
      <w:r>
        <w:rPr>
          <w:b w:val="1"/>
        </w:rPr>
        <w:t xml:space="preserve"> </w:t>
      </w:r>
      <w:r>
        <w:rPr>
          <w:b w:val="1"/>
        </w:rPr>
        <w:t>Тверской</w:t>
      </w:r>
      <w:r>
        <w:rPr>
          <w:b w:val="1"/>
        </w:rPr>
        <w:t xml:space="preserve"> </w:t>
      </w:r>
      <w:r>
        <w:rPr>
          <w:b w:val="1"/>
        </w:rPr>
        <w:t>области</w:t>
      </w:r>
      <w:r>
        <w:rPr>
          <w:b w:val="1"/>
        </w:rPr>
        <w:t xml:space="preserve"> </w:t>
      </w:r>
    </w:p>
    <w:p w14:paraId="3C000000">
      <w:pPr>
        <w:pStyle w:val="Style_3"/>
        <w:tabs>
          <w:tab w:leader="none" w:pos="1080" w:val="left"/>
        </w:tabs>
        <w:ind/>
      </w:pPr>
    </w:p>
    <w:p w14:paraId="3D000000">
      <w:pPr>
        <w:pStyle w:val="Style_3"/>
        <w:tabs>
          <w:tab w:leader="none" w:pos="1080" w:val="left"/>
        </w:tabs>
        <w:ind/>
        <w:rPr>
          <w:b w:val="1"/>
        </w:rPr>
      </w:pPr>
      <w:r>
        <w:rPr>
          <w:b w:val="1"/>
        </w:rPr>
        <w:t xml:space="preserve">Председатель ликвидационной комиссии: </w:t>
      </w:r>
    </w:p>
    <w:p w14:paraId="3E000000">
      <w:pPr>
        <w:pStyle w:val="Style_3"/>
        <w:tabs>
          <w:tab w:leader="none" w:pos="1080" w:val="left"/>
        </w:tabs>
        <w:ind/>
        <w:jc w:val="both"/>
      </w:pPr>
    </w:p>
    <w:p w14:paraId="3F000000">
      <w:pPr>
        <w:pStyle w:val="Style_3"/>
        <w:tabs>
          <w:tab w:leader="none" w:pos="1080" w:val="left"/>
        </w:tabs>
        <w:ind/>
      </w:pPr>
      <w:r>
        <w:t xml:space="preserve">Кузнецова Татьяна Александровна – заместитель Главы администрации Сандовского района; </w:t>
      </w:r>
    </w:p>
    <w:p w14:paraId="40000000">
      <w:pPr>
        <w:pStyle w:val="Style_3"/>
        <w:tabs>
          <w:tab w:leader="none" w:pos="1080" w:val="left"/>
        </w:tabs>
        <w:ind/>
        <w:jc w:val="both"/>
      </w:pPr>
    </w:p>
    <w:p w14:paraId="41000000">
      <w:pPr>
        <w:pStyle w:val="Style_3"/>
        <w:tabs>
          <w:tab w:leader="none" w:pos="1080" w:val="left"/>
        </w:tabs>
        <w:ind/>
        <w:jc w:val="both"/>
        <w:rPr>
          <w:b w:val="1"/>
        </w:rPr>
      </w:pPr>
      <w:r>
        <w:rPr>
          <w:b w:val="1"/>
        </w:rPr>
        <w:t>Члены комиссии:</w:t>
      </w:r>
    </w:p>
    <w:p w14:paraId="42000000">
      <w:pPr>
        <w:pStyle w:val="Style_3"/>
        <w:tabs>
          <w:tab w:leader="none" w:pos="1080" w:val="left"/>
        </w:tabs>
        <w:ind/>
        <w:jc w:val="both"/>
      </w:pPr>
      <w:r>
        <w:t>Белова Наталия Николаевна – заведующая отделом бухгалтерского учета и отчетности, главный бухгалтер администрации Сандовского района</w:t>
      </w:r>
      <w:r>
        <w:t>;</w:t>
      </w:r>
    </w:p>
    <w:p w14:paraId="43000000">
      <w:pPr>
        <w:pStyle w:val="Style_3"/>
        <w:tabs>
          <w:tab w:leader="none" w:pos="1080" w:val="left"/>
        </w:tabs>
        <w:ind/>
        <w:jc w:val="both"/>
      </w:pPr>
    </w:p>
    <w:p w14:paraId="44000000">
      <w:pPr>
        <w:pStyle w:val="Style_3"/>
        <w:tabs>
          <w:tab w:leader="none" w:pos="1080" w:val="left"/>
        </w:tabs>
        <w:ind/>
        <w:jc w:val="both"/>
      </w:pPr>
      <w:r>
        <w:t>Смирнова Ольга Владимировна – заместитель главного бухгалтера администрации Сандовского района;</w:t>
      </w:r>
    </w:p>
    <w:p w14:paraId="45000000">
      <w:pPr>
        <w:pStyle w:val="Style_3"/>
        <w:tabs>
          <w:tab w:leader="none" w:pos="1080" w:val="left"/>
        </w:tabs>
        <w:ind/>
        <w:jc w:val="both"/>
      </w:pPr>
    </w:p>
    <w:p w14:paraId="46000000">
      <w:pPr>
        <w:pStyle w:val="Style_3"/>
        <w:tabs>
          <w:tab w:leader="none" w:pos="1080" w:val="left"/>
        </w:tabs>
        <w:ind/>
        <w:jc w:val="both"/>
      </w:pPr>
      <w:r>
        <w:t>Уткина Ольга Александровна – заведующая организационно-правовым отделом администрации Сандовского района;</w:t>
      </w:r>
    </w:p>
    <w:p w14:paraId="47000000">
      <w:pPr>
        <w:pStyle w:val="Style_3"/>
        <w:tabs>
          <w:tab w:leader="none" w:pos="1080" w:val="left"/>
        </w:tabs>
        <w:ind/>
        <w:jc w:val="both"/>
      </w:pPr>
    </w:p>
    <w:p w14:paraId="48000000">
      <w:pPr>
        <w:pStyle w:val="Style_3"/>
        <w:tabs>
          <w:tab w:leader="none" w:pos="1080" w:val="left"/>
        </w:tabs>
        <w:ind/>
        <w:jc w:val="both"/>
      </w:pPr>
      <w:r>
        <w:t>Чмелева Анастасия Петровна – главный специалист, юрист организационно-правового отдела администрации Сандовского района.</w:t>
      </w:r>
    </w:p>
    <w:p w14:paraId="49000000">
      <w:pPr>
        <w:ind/>
        <w:jc w:val="both"/>
        <w:rPr>
          <w:sz w:val="28"/>
        </w:rPr>
      </w:pPr>
    </w:p>
    <w:p w14:paraId="4A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4C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4D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4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4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0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1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2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3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4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5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6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7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8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9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A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B000000">
      <w:pPr>
        <w:ind w:firstLine="0" w:left="6237"/>
        <w:jc w:val="right"/>
        <w:rPr>
          <w:rFonts w:ascii="Times New Roman" w:hAnsi="Times New Roman"/>
          <w:sz w:val="28"/>
        </w:rPr>
      </w:pPr>
    </w:p>
    <w:p w14:paraId="5C000000">
      <w:pPr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14:paraId="5D000000">
      <w:pPr>
        <w:ind w:firstLine="0" w:left="524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Думы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от 22.09.2020г № 14</w:t>
      </w:r>
    </w:p>
    <w:p w14:paraId="5E000000">
      <w:pPr>
        <w:ind w:firstLine="0" w:left="5244"/>
        <w:jc w:val="right"/>
        <w:rPr>
          <w:rFonts w:ascii="Times New Roman" w:hAnsi="Times New Roman"/>
          <w:sz w:val="24"/>
        </w:rPr>
      </w:pPr>
    </w:p>
    <w:p w14:paraId="5F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Порядок и сроки ликвидации</w:t>
      </w:r>
    </w:p>
    <w:p w14:paraId="60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Совет</w:t>
      </w:r>
      <w:r>
        <w:rPr>
          <w:rFonts w:ascii="Times New Roman" w:hAnsi="Times New Roman"/>
          <w:b w:val="1"/>
          <w:sz w:val="28"/>
        </w:rPr>
        <w:t xml:space="preserve">а </w:t>
      </w:r>
      <w:r>
        <w:rPr>
          <w:rFonts w:ascii="Times New Roman" w:hAnsi="Times New Roman"/>
          <w:b w:val="1"/>
          <w:sz w:val="28"/>
        </w:rPr>
        <w:t>депутатов</w:t>
      </w:r>
      <w:r>
        <w:rPr>
          <w:rFonts w:ascii="Times New Roman" w:hAnsi="Times New Roman"/>
          <w:b w:val="1"/>
          <w:sz w:val="28"/>
        </w:rPr>
        <w:t xml:space="preserve"> городского </w:t>
      </w:r>
      <w:r>
        <w:rPr>
          <w:rFonts w:ascii="Times New Roman" w:hAnsi="Times New Roman"/>
          <w:b w:val="1"/>
          <w:sz w:val="28"/>
        </w:rPr>
        <w:t>поселения</w:t>
      </w:r>
      <w:r>
        <w:rPr>
          <w:rFonts w:ascii="Times New Roman" w:hAnsi="Times New Roman"/>
          <w:b w:val="1"/>
          <w:sz w:val="28"/>
        </w:rPr>
        <w:t xml:space="preserve"> «Поселок Сандово» Сандовского района </w:t>
      </w:r>
      <w:r>
        <w:rPr>
          <w:rFonts w:ascii="Times New Roman" w:hAnsi="Times New Roman"/>
          <w:b w:val="1"/>
          <w:sz w:val="28"/>
        </w:rPr>
        <w:t>Тверской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области</w:t>
      </w:r>
      <w:r>
        <w:rPr>
          <w:rFonts w:ascii="Times New Roman" w:hAnsi="Times New Roman"/>
          <w:b w:val="1"/>
          <w:sz w:val="28"/>
        </w:rPr>
        <w:t xml:space="preserve">  (далее – Совет депутатов городского поселения)</w:t>
      </w:r>
    </w:p>
    <w:p w14:paraId="6100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8"/>
        <w:gridCol w:w="3843"/>
        <w:gridCol w:w="3244"/>
        <w:gridCol w:w="2410"/>
      </w:tblGrid>
      <w:tr>
        <w:trPr>
          <w:trHeight w:hRule="atLeast" w:val="9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widowControl w:val="0"/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3000000">
            <w:pPr>
              <w:widowControl w:val="0"/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65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исполнения и правовые основания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widowControl w:val="0"/>
              <w:tabs>
                <w:tab w:leader="none" w:pos="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решения о ликвидации </w:t>
            </w:r>
            <w:r>
              <w:rPr>
                <w:rFonts w:ascii="Times New Roman" w:hAnsi="Times New Roman"/>
                <w:sz w:val="24"/>
              </w:rPr>
              <w:t xml:space="preserve">совета депутатов городского поселения 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widowControl w:val="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(ст. 61, 62 Гражданского кодекса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Дума</w:t>
            </w:r>
            <w:r>
              <w:rPr>
                <w:rFonts w:ascii="Times New Roman" w:hAnsi="Times New Roman"/>
                <w:sz w:val="24"/>
              </w:rPr>
              <w:t xml:space="preserve"> Сандовского  муниципального округа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widowControl w:val="0"/>
              <w:tabs>
                <w:tab w:leader="none" w:pos="284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Письменное уведомление налогового органа о нахождении </w:t>
            </w: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а депутатов городского поселения </w:t>
            </w:r>
            <w:r>
              <w:rPr>
                <w:rFonts w:ascii="Times New Roman" w:hAnsi="Times New Roman"/>
                <w:sz w:val="24"/>
              </w:rPr>
              <w:t>в процессе ликвидации</w:t>
            </w:r>
          </w:p>
          <w:p w14:paraId="6E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трёх рабочих дней после даты принятия решения о ликвидации</w:t>
            </w:r>
          </w:p>
          <w:p w14:paraId="70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(ст. 62 ГК РФ, ч. 1 ст. 20             от 08.08.2001№ 129-ФЗ, приказ ФНС России от 25.01.2012 № ММВ-7-6/25@)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Ликвидационная комиссия </w:t>
            </w:r>
          </w:p>
        </w:tc>
      </w:tr>
      <w:tr>
        <w:trPr>
          <w:trHeight w:hRule="atLeast" w:val="169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сведений о принятии решения о ликвидации </w:t>
            </w:r>
            <w:r>
              <w:rPr>
                <w:rFonts w:ascii="Times New Roman" w:hAnsi="Times New Roman"/>
                <w:sz w:val="24"/>
              </w:rPr>
              <w:t xml:space="preserve">совета депутатов </w:t>
            </w:r>
            <w:r>
              <w:rPr>
                <w:rFonts w:ascii="Times New Roman" w:hAnsi="Times New Roman"/>
                <w:sz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>в журнале «Вестник государственной регистрации»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порядке, установленном законом</w:t>
            </w:r>
          </w:p>
          <w:p w14:paraId="75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1 ст. 63 ГК РФ, п. 1 п</w:t>
            </w:r>
            <w:r>
              <w:rPr>
                <w:rFonts w:ascii="Times New Roman" w:hAnsi="Times New Roman"/>
                <w:sz w:val="24"/>
              </w:rPr>
              <w:t>риказа ФНС России от 16.06.2006 № САЭ-3-09/355@)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widowControl w:val="0"/>
              <w:spacing w:afterAutospacing="on" w:beforeAutospacing="on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кредиторов, совершение действий по сбору дебиторской задолженности. Письменное уведомление каждого кредитора о ликвидации </w:t>
            </w: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а депутатов городского поселения </w:t>
            </w:r>
            <w:r>
              <w:rPr>
                <w:rFonts w:ascii="Times New Roman" w:hAnsi="Times New Roman"/>
                <w:sz w:val="24"/>
              </w:rPr>
              <w:t>с указанием сроков для предъявления требований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двух месяцев с момента опубликования сообщения о ликвидации</w:t>
            </w:r>
          </w:p>
          <w:p w14:paraId="7A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1 ст. 63 ГК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инвентаризации имущества </w:t>
            </w:r>
          </w:p>
          <w:p w14:paraId="7E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совета депутатов </w:t>
            </w:r>
            <w:r>
              <w:rPr>
                <w:rFonts w:ascii="Times New Roman" w:hAnsi="Times New Roman"/>
                <w:sz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</w:rPr>
              <w:t xml:space="preserve">поселения 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0"/>
              <w:ind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 составлением ликвидационного (промежуточного) баланса</w:t>
            </w:r>
          </w:p>
          <w:p w14:paraId="80000000">
            <w:pPr>
              <w:widowControl w:val="0"/>
              <w:ind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(приказ Минфина РФ от 13.06.1995 № 49)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Составление промежуточного ликвидационного баланса </w:t>
            </w:r>
            <w:r>
              <w:rPr>
                <w:rFonts w:ascii="Times New Roman" w:hAnsi="Times New Roman"/>
                <w:sz w:val="24"/>
              </w:rPr>
              <w:t>совета</w:t>
            </w:r>
            <w:r>
              <w:rPr>
                <w:rFonts w:ascii="Times New Roman" w:hAnsi="Times New Roman"/>
                <w:sz w:val="24"/>
              </w:rPr>
              <w:t xml:space="preserve"> депутатов городского поселения</w:t>
            </w:r>
          </w:p>
          <w:p w14:paraId="84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5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Утверждение промежуточного ликвидационного баланса </w:t>
            </w:r>
            <w:r>
              <w:rPr>
                <w:rFonts w:ascii="Times New Roman" w:hAnsi="Times New Roman"/>
                <w:sz w:val="24"/>
              </w:rPr>
              <w:t>совета</w:t>
            </w:r>
            <w:r>
              <w:rPr>
                <w:rFonts w:ascii="Times New Roman" w:hAnsi="Times New Roman"/>
                <w:sz w:val="24"/>
              </w:rPr>
              <w:t xml:space="preserve"> депутатов городского поселения</w:t>
            </w:r>
          </w:p>
          <w:p w14:paraId="86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7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3) Представление в налоговый орган уведомления о составлении промежуточного ликвидационного баланса </w:t>
            </w: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а депутатов городского поселения 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окончания срока предъявления требований кредиторами</w:t>
            </w:r>
          </w:p>
          <w:p w14:paraId="89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2 ст. 63 ГК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  <w:p w14:paraId="8B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Дума</w:t>
            </w:r>
            <w:r>
              <w:rPr>
                <w:rFonts w:ascii="Times New Roman" w:hAnsi="Times New Roman"/>
                <w:sz w:val="24"/>
              </w:rPr>
              <w:t xml:space="preserve"> Сандовского  муниципального округа</w:t>
            </w:r>
          </w:p>
          <w:p w14:paraId="8E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8F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Ликвидационная комиссия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Выплата денежных сумм кредиторам ликвидируемого </w:t>
            </w: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а депутатов городского поселения 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5 ст. 63, ст. 64 ГК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Ликвидационная комиссия </w:t>
            </w:r>
          </w:p>
        </w:tc>
      </w:tr>
      <w:tr>
        <w:trPr>
          <w:trHeight w:hRule="atLeast" w:val="53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Подготовка и направление 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instrText>HYPERLINK "https://www.nalog.ru/cdn/form/4162479.pdf"</w:instrTex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t>заявления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о государственной регистрации юридического лица в связи с его ликвидацией;</w:t>
            </w:r>
          </w:p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Подготовка ликвидационного баланса </w:t>
            </w: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>а депутатов городского поселения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Утверждение ликвидационного баланса </w:t>
            </w:r>
            <w:r>
              <w:rPr>
                <w:rFonts w:ascii="Times New Roman" w:hAnsi="Times New Roman"/>
                <w:sz w:val="24"/>
              </w:rPr>
              <w:t xml:space="preserve">совета депутатов </w:t>
            </w:r>
            <w:r>
              <w:rPr>
                <w:rFonts w:ascii="Times New Roman" w:hAnsi="Times New Roman"/>
                <w:sz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оселения </w:t>
            </w:r>
          </w:p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Оплата государственной пошлины;</w:t>
            </w:r>
          </w:p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Подготовка документа, подтверждающего представление сведений в территориальный орган Пенсионного фонда.</w:t>
            </w:r>
          </w:p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0"/>
              <w:ind w:firstLine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завершения расчетов с кредиторами</w:t>
            </w:r>
          </w:p>
          <w:p w14:paraId="A1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(ч. 6 ст. 63 ГК РФ)</w:t>
            </w:r>
          </w:p>
          <w:p w14:paraId="A2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Ликвидационная комиссия </w:t>
            </w:r>
          </w:p>
          <w:p w14:paraId="A4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A5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A6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A7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Ликвидационная комиссия </w:t>
            </w:r>
          </w:p>
          <w:p w14:paraId="A8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  <w:p w14:paraId="A9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  <w:p w14:paraId="AA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</w:p>
          <w:p w14:paraId="AB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Дума</w:t>
            </w:r>
            <w:r>
              <w:rPr>
                <w:rFonts w:ascii="Times New Roman" w:hAnsi="Times New Roman"/>
                <w:sz w:val="24"/>
              </w:rPr>
              <w:t xml:space="preserve"> Сандовского  муниципального округа</w:t>
            </w:r>
          </w:p>
          <w:p w14:paraId="AC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</w:p>
          <w:p w14:paraId="AD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</w:p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  <w:p w14:paraId="AF000000">
            <w:pPr>
              <w:widowControl w:val="0"/>
              <w:ind w:hanging="97"/>
              <w:jc w:val="center"/>
              <w:rPr>
                <w:rFonts w:ascii="Times New Roman" w:hAnsi="Times New Roman"/>
                <w:sz w:val="24"/>
              </w:rPr>
            </w:pPr>
          </w:p>
          <w:p w14:paraId="B0000000">
            <w:pPr>
              <w:widowControl w:val="0"/>
              <w:ind w:hanging="97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Подача документов, указанных в пункте 8 настоящего Порядка, в налоговый орган по месту регистрации </w:t>
            </w:r>
          </w:p>
          <w:p w14:paraId="B3000000">
            <w:pPr>
              <w:widowControl w:val="0"/>
              <w:ind w:firstLine="34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а депутатов городского поселения 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Ликвидационная комиссия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Получение документов о государственной регистрации ликвидации </w:t>
            </w: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а депутатов городского поселения </w:t>
            </w:r>
            <w:r>
              <w:rPr>
                <w:rFonts w:ascii="Times New Roman" w:hAnsi="Times New Roman"/>
                <w:sz w:val="24"/>
              </w:rPr>
              <w:t>как юридического лица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лист записи в ЕГРЮЛ;</w:t>
            </w:r>
          </w:p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уведомление о снятии с учета в налоговом органе.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0"/>
              <w:ind w:firstLine="34"/>
              <w:jc w:val="center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Ликвидационная комиссия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Закрытие банковского счета </w:t>
            </w:r>
            <w:r>
              <w:rPr>
                <w:rFonts w:ascii="Times New Roman" w:hAnsi="Times New Roman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 xml:space="preserve">а депутатов городского поселения 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(ст. 859 ГК РФ)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  <w:p w14:paraId="C0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0"/>
              <w:tabs>
                <w:tab w:leader="none" w:pos="270" w:val="left"/>
                <w:tab w:leader="none" w:pos="3430" w:val="left"/>
              </w:tabs>
              <w:ind w:firstLine="0" w:left="-4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Уничтожение печати (по акту об уничтожении)</w:t>
            </w:r>
          </w:p>
        </w:tc>
        <w:tc>
          <w:tcPr>
            <w:tcW w:type="dxa" w:w="3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Ликвидационная комиссия</w:t>
            </w:r>
          </w:p>
        </w:tc>
      </w:tr>
    </w:tbl>
    <w:p w14:paraId="C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C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1134" w:footer="720" w:gutter="0" w:header="720" w:left="1134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ms Rmn" w:hAnsi="Tms Rmn"/>
    </w:rPr>
  </w:style>
  <w:style w:default="1" w:styleId="Style_5_ch" w:type="character">
    <w:name w:val="Normal"/>
    <w:link w:val="Style_5"/>
    <w:rPr>
      <w:rFonts w:ascii="Tms Rmn" w:hAnsi="Tms Rmn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Default"/>
    <w:link w:val="Style_8_ch"/>
    <w:rPr>
      <w:color w:val="000000"/>
      <w:sz w:val="24"/>
    </w:rPr>
  </w:style>
  <w:style w:styleId="Style_8_ch" w:type="character">
    <w:name w:val="Default"/>
    <w:link w:val="Style_8"/>
    <w:rPr>
      <w:color w:val="000000"/>
      <w:sz w:val="24"/>
    </w:rPr>
  </w:style>
  <w:style w:styleId="Style_3" w:type="paragraph">
    <w:name w:val="ConsPlusNormal"/>
    <w:link w:val="Style_3_ch"/>
    <w:rPr>
      <w:sz w:val="28"/>
    </w:rPr>
  </w:style>
  <w:style w:styleId="Style_3_ch" w:type="character">
    <w:name w:val="ConsPlusNormal"/>
    <w:link w:val="Style_3"/>
    <w:rPr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2" w:type="paragraph">
    <w:name w:val="Heading"/>
    <w:basedOn w:val="Style_5"/>
    <w:next w:val="Style_5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5_ch"/>
    <w:link w:val="Style_2"/>
    <w:rPr>
      <w:rFonts w:ascii="Arial" w:hAnsi="Arial"/>
      <w:color w:val="00000A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7_ch" w:type="character">
    <w:name w:val="heading 1"/>
    <w:basedOn w:val="Style_5_ch"/>
    <w:link w:val="Style_17"/>
    <w:rPr>
      <w:rFonts w:ascii="Arial" w:hAnsi="Arial"/>
      <w:b w:val="1"/>
      <w:sz w:val="30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5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5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head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5_ch"/>
    <w:link w:val="Style_25"/>
  </w:style>
  <w:style w:styleId="Style_26" w:type="paragraph">
    <w:name w:val="toc 10"/>
    <w:next w:val="Style_5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5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2020-09-23T06:41:45Z</dcterms:modified>
</cp:coreProperties>
</file>