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rFonts w:ascii="Times New Roman" w:hAnsi="Times New Roman"/>
        </w:rPr>
      </w:pPr>
      <w:r>
        <w:rPr>
          <w:sz w:val="24"/>
        </w:rPr>
        <w:drawing>
          <wp:inline>
            <wp:extent cx="403225" cy="51181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-1.619%" l="-2.183%" r="-2.183%" t="-1.619%"/>
                    <a:stretch/>
                  </pic:blipFill>
                  <pic:spPr>
                    <a:xfrm rot="0">
                      <a:off x="0" y="0"/>
                      <a:ext cx="403225" cy="51181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АДМИНИСТРАЦИЯ </w:t>
      </w:r>
    </w:p>
    <w:p w14:paraId="03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pStyle w:val="Style_2"/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pPr>
        <w:pStyle w:val="Style_2"/>
        <w:spacing w:after="0"/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12.12.2019                                            п. Сандово                                                № 247 </w:t>
      </w:r>
    </w:p>
    <w:p w14:paraId="07000000">
      <w:pPr>
        <w:spacing w:after="0"/>
        <w:ind w:right="-454"/>
        <w:jc w:val="both"/>
        <w:rPr>
          <w:rFonts w:ascii="Times New Roman" w:hAnsi="Times New Roman"/>
          <w:sz w:val="20"/>
        </w:rPr>
      </w:pPr>
    </w:p>
    <w:tbl>
      <w:tblPr>
        <w:tblStyle w:val="Style_3"/>
        <w:tblInd w:type="dxa" w:w="-87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040"/>
      </w:tblGrid>
      <w:tr>
        <w:tc>
          <w:tcPr>
            <w:tcW w:type="dxa" w:w="504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spacing w:after="0"/>
              <w:ind/>
              <w:rPr>
                <w:sz w:val="28"/>
              </w:rPr>
            </w:pPr>
            <w:bookmarkStart w:id="1" w:name="__DdeLink__1617_4254173330"/>
            <w:bookmarkEnd w:id="1"/>
          </w:p>
          <w:p w14:paraId="09000000">
            <w:pPr>
              <w:spacing w:after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</w:t>
            </w:r>
            <w:r>
              <w:rPr>
                <w:rFonts w:ascii="Times New Roman" w:hAnsi="Times New Roman"/>
                <w:sz w:val="24"/>
              </w:rPr>
              <w:t>изменений  в</w:t>
            </w:r>
            <w:r>
              <w:rPr>
                <w:rFonts w:ascii="Times New Roman" w:hAnsi="Times New Roman"/>
                <w:sz w:val="24"/>
              </w:rPr>
              <w:t xml:space="preserve"> постановление </w:t>
            </w:r>
            <w:r>
              <w:rPr>
                <w:rFonts w:ascii="Times New Roman" w:hAnsi="Times New Roman"/>
                <w:sz w:val="24"/>
              </w:rPr>
              <w:t>от 21.09.2017 № 183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О порядке и условиях оплаты и стимулирования труда в муниципальных учреждениях культуры Сандовского района Тверской области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0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0B000000">
      <w:pPr>
        <w:spacing w:after="0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14:paraId="0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 соответствии со статьями 135 и 144 Трудового кодекса Российской Федерации, постановлением </w:t>
      </w:r>
      <w:r>
        <w:rPr>
          <w:rFonts w:ascii="Times New Roman" w:hAnsi="Times New Roman"/>
          <w:sz w:val="24"/>
        </w:rPr>
        <w:t xml:space="preserve">Правительства </w:t>
      </w:r>
      <w:r>
        <w:rPr>
          <w:rFonts w:ascii="Times New Roman" w:hAnsi="Times New Roman"/>
          <w:sz w:val="24"/>
        </w:rPr>
        <w:t xml:space="preserve">Тверской области от </w:t>
      </w:r>
      <w:r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476</w:t>
      </w:r>
      <w:r>
        <w:rPr>
          <w:rFonts w:ascii="Times New Roman" w:hAnsi="Times New Roman"/>
          <w:sz w:val="24"/>
        </w:rPr>
        <w:t>-пп</w:t>
      </w:r>
      <w:r>
        <w:rPr>
          <w:rFonts w:ascii="Times New Roman" w:hAnsi="Times New Roman"/>
          <w:sz w:val="24"/>
        </w:rPr>
        <w:t xml:space="preserve"> «О внесении изменений в постановление Правительства Тверской области </w:t>
      </w:r>
      <w:r>
        <w:rPr>
          <w:sz w:val="24"/>
        </w:rPr>
        <w:t xml:space="preserve">от </w:t>
      </w:r>
      <w:r>
        <w:rPr>
          <w:rFonts w:ascii="Times New Roman" w:hAnsi="Times New Roman"/>
          <w:sz w:val="24"/>
        </w:rPr>
        <w:t>14.09.2017 № 306-пп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порядке и условиях оплаты и стимулирования труда в государственных учреждениях культуры и искусства Тверской области</w:t>
      </w:r>
      <w:r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 xml:space="preserve">администрация Сандовского района  </w:t>
      </w:r>
    </w:p>
    <w:p w14:paraId="0D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0F000000">
      <w:pPr>
        <w:spacing w:after="0" w:line="240" w:lineRule="auto"/>
        <w:ind w:firstLine="720" w:left="0"/>
        <w:jc w:val="center"/>
        <w:rPr>
          <w:rFonts w:ascii="Times New Roman" w:hAnsi="Times New Roman"/>
          <w:sz w:val="24"/>
        </w:rPr>
      </w:pPr>
    </w:p>
    <w:p w14:paraId="10000000">
      <w:pPr>
        <w:pStyle w:val="Style_4"/>
        <w:numPr>
          <w:ilvl w:val="0"/>
          <w:numId w:val="1"/>
        </w:numPr>
        <w:tabs>
          <w:tab w:leader="none" w:pos="1134" w:val="left"/>
        </w:tabs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Положение о порядке и условиях оплаты и стимулирования труда в муниципальных учреждениях культуры Сандовского района Тверской области</w:t>
      </w:r>
      <w:r>
        <w:rPr>
          <w:rFonts w:ascii="Times New Roman" w:hAnsi="Times New Roman"/>
          <w:sz w:val="24"/>
        </w:rPr>
        <w:t xml:space="preserve">, утвержденное постановлением администрации Сандовского </w:t>
      </w:r>
      <w:r>
        <w:rPr>
          <w:rFonts w:ascii="Times New Roman" w:hAnsi="Times New Roman"/>
          <w:sz w:val="24"/>
        </w:rPr>
        <w:t xml:space="preserve">района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21.09.2017 № </w:t>
      </w:r>
      <w:r>
        <w:rPr>
          <w:rFonts w:ascii="Times New Roman" w:hAnsi="Times New Roman"/>
          <w:sz w:val="24"/>
        </w:rPr>
        <w:t xml:space="preserve">183 </w:t>
      </w:r>
      <w:r>
        <w:rPr>
          <w:rFonts w:ascii="Times New Roman" w:hAnsi="Times New Roman"/>
          <w:sz w:val="24"/>
        </w:rPr>
        <w:t>(далее – Положение) следующие изменения:</w:t>
      </w:r>
      <w:r>
        <w:rPr>
          <w:rFonts w:ascii="Times New Roman" w:hAnsi="Times New Roman"/>
          <w:sz w:val="24"/>
        </w:rPr>
        <w:t xml:space="preserve"> </w:t>
      </w:r>
    </w:p>
    <w:p w14:paraId="11000000">
      <w:pPr>
        <w:pStyle w:val="Style_4"/>
        <w:numPr>
          <w:ilvl w:val="0"/>
          <w:numId w:val="2"/>
        </w:numPr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Пункт 8 раздела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Порядок и условия оплаты труда работников культуры </w:t>
      </w:r>
      <w:r>
        <w:rPr>
          <w:rFonts w:ascii="Times New Roman" w:hAnsi="Times New Roman"/>
          <w:sz w:val="24"/>
        </w:rPr>
        <w:t>изложить в следующей редакции:</w:t>
      </w:r>
    </w:p>
    <w:p w14:paraId="12000000">
      <w:pPr>
        <w:pStyle w:val="Style_4"/>
        <w:tabs>
          <w:tab w:leader="none" w:pos="1134" w:val="left"/>
        </w:tabs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8. Должностные оклады работников, занимающих должности служащих культуры и искусства, квалификационные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"consultantplus://offline/ref=C58A82710008F133822DA0AFD0D51BC95DB892FF1FBBBEE258BEFA47180B76FAB002DF4207BA52E6z205H"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характеристики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которых утверждены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устанавливаются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следующих размерах:</w:t>
      </w:r>
    </w:p>
    <w:p w14:paraId="13000000">
      <w:pPr>
        <w:pStyle w:val="Style_4"/>
        <w:ind w:firstLine="0" w:left="720"/>
        <w:jc w:val="both"/>
        <w:rPr>
          <w:rFonts w:ascii="Times New Roman" w:hAnsi="Times New Roman"/>
          <w:sz w:val="24"/>
        </w:rPr>
      </w:pPr>
    </w:p>
    <w:p w14:paraId="1400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Должности работников, занятых в библиотеках,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музеях</w:t>
      </w:r>
    </w:p>
    <w:p w14:paraId="1500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4"/>
        </w:rPr>
      </w:pPr>
    </w:p>
    <w:tbl>
      <w:tblPr>
        <w:tblStyle w:val="Style_3"/>
      </w:tblPr>
      <w:tblGrid>
        <w:gridCol w:w="3207"/>
        <w:gridCol w:w="1445"/>
        <w:gridCol w:w="7"/>
        <w:gridCol w:w="917"/>
        <w:gridCol w:w="925"/>
        <w:gridCol w:w="849"/>
        <w:gridCol w:w="849"/>
        <w:gridCol w:w="1833"/>
      </w:tblGrid>
      <w:tr>
        <w:trPr>
          <w:trHeight w:hRule="atLeast" w:val="300"/>
        </w:trPr>
        <w:tc>
          <w:tcPr>
            <w:tcW w:type="dxa" w:w="32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должностей</w:t>
            </w:r>
          </w:p>
        </w:tc>
        <w:tc>
          <w:tcPr>
            <w:tcW w:type="dxa" w:w="682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Должностные оклады по группам по оплате труда руководителей, рублей</w:t>
            </w:r>
          </w:p>
        </w:tc>
      </w:tr>
      <w:tr>
        <w:trPr>
          <w:trHeight w:hRule="atLeast" w:val="900"/>
        </w:trPr>
        <w:tc>
          <w:tcPr>
            <w:tcW w:type="dxa" w:w="32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ведущие учреждения</w:t>
            </w:r>
          </w:p>
        </w:tc>
        <w:tc>
          <w:tcPr>
            <w:tcW w:type="dxa" w:w="9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отнесенные к группам</w:t>
            </w:r>
          </w:p>
        </w:tc>
      </w:tr>
      <w:tr>
        <w:trPr>
          <w:trHeight w:hRule="atLeast" w:val="300"/>
        </w:trPr>
        <w:tc>
          <w:tcPr>
            <w:tcW w:type="dxa" w:w="100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Руководители</w:t>
            </w:r>
          </w:p>
        </w:tc>
      </w:tr>
      <w:tr>
        <w:trPr>
          <w:trHeight w:hRule="atLeast" w:val="900"/>
        </w:trPr>
        <w:tc>
          <w:tcPr>
            <w:tcW w:type="dxa" w:w="3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 (сектором) музея, библиотеки, централизованной библиотечной системы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447</w:t>
            </w:r>
          </w:p>
        </w:tc>
        <w:tc>
          <w:tcPr>
            <w:tcW w:type="dxa" w:w="9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178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9 178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9 178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</w:tr>
      <w:tr>
        <w:trPr>
          <w:trHeight w:hRule="atLeast" w:val="900"/>
        </w:trPr>
        <w:tc>
          <w:tcPr>
            <w:tcW w:type="dxa" w:w="3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филиалом музея, библиотеки, централизованной библиотечной системы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0 864</w:t>
            </w:r>
          </w:p>
        </w:tc>
        <w:tc>
          <w:tcPr>
            <w:tcW w:type="dxa" w:w="9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196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9 746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447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178</w:t>
            </w:r>
          </w:p>
        </w:tc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8 996</w:t>
            </w:r>
          </w:p>
        </w:tc>
      </w:tr>
      <w:tr>
        <w:trPr>
          <w:trHeight w:hRule="atLeast" w:val="300"/>
        </w:trPr>
        <w:tc>
          <w:tcPr>
            <w:tcW w:type="dxa" w:w="100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Специалисты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библиотекарь, главный библиограф</w:t>
            </w:r>
          </w:p>
        </w:tc>
        <w:tc>
          <w:tcPr>
            <w:tcW w:type="dxa" w:w="14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9 447</w:t>
            </w:r>
          </w:p>
        </w:tc>
        <w:tc>
          <w:tcPr>
            <w:tcW w:type="dxa" w:w="269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9178</w:t>
            </w:r>
          </w:p>
        </w:tc>
        <w:tc>
          <w:tcPr>
            <w:tcW w:type="dxa" w:w="268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0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Библиотекарь, библиограф</w:t>
            </w:r>
          </w:p>
        </w:tc>
        <w:tc>
          <w:tcPr>
            <w:tcW w:type="dxa" w:w="6825"/>
            <w:gridSpan w:val="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148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7 909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7 684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59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Библиотекарь-каталогизатор</w:t>
            </w:r>
          </w:p>
        </w:tc>
        <w:tc>
          <w:tcPr>
            <w:tcW w:type="dxa" w:w="682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0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25"/>
            <w:gridSpan w:val="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7 909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7 684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59</w:t>
            </w:r>
          </w:p>
        </w:tc>
      </w:tr>
      <w:tr>
        <w:trPr>
          <w:trHeight w:hRule="atLeast" w:val="600"/>
        </w:trPr>
        <w:tc>
          <w:tcPr>
            <w:tcW w:type="dxa" w:w="320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 централизованной библиотечной системы, библиотеки, музея</w:t>
            </w:r>
          </w:p>
        </w:tc>
        <w:tc>
          <w:tcPr>
            <w:tcW w:type="dxa" w:w="6825"/>
            <w:gridSpan w:val="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8 397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148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7 909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459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Экскурсовод</w:t>
            </w:r>
          </w:p>
        </w:tc>
        <w:tc>
          <w:tcPr>
            <w:tcW w:type="dxa" w:w="682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0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25"/>
            <w:gridSpan w:val="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7 909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7 684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459</w:t>
            </w:r>
          </w:p>
        </w:tc>
      </w:tr>
      <w:tr>
        <w:trPr>
          <w:trHeight w:hRule="atLeast" w:val="600"/>
        </w:trPr>
        <w:tc>
          <w:tcPr>
            <w:tcW w:type="dxa" w:w="320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Редактор централизованной библиотечной системы, библиотеки, музея</w:t>
            </w:r>
          </w:p>
        </w:tc>
        <w:tc>
          <w:tcPr>
            <w:tcW w:type="dxa" w:w="6825"/>
            <w:gridSpan w:val="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7 909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7 684</w:t>
            </w:r>
          </w:p>
        </w:tc>
      </w:tr>
      <w:tr>
        <w:trPr>
          <w:trHeight w:hRule="atLeast" w:val="300"/>
        </w:trPr>
        <w:tc>
          <w:tcPr>
            <w:tcW w:type="dxa" w:w="320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2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459</w:t>
            </w:r>
          </w:p>
        </w:tc>
      </w:tr>
    </w:tbl>
    <w:p w14:paraId="5E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F000000">
      <w:pPr>
        <w:pStyle w:val="Style_4"/>
        <w:ind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Должности работников, занятых в культурно-досуговых</w:t>
      </w:r>
    </w:p>
    <w:p w14:paraId="60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организациях, центрах (домах народного творчества), дворцах и домах </w:t>
      </w:r>
      <w:r>
        <w:rPr>
          <w:rFonts w:ascii="Times New Roman" w:hAnsi="Times New Roman"/>
          <w:sz w:val="24"/>
        </w:rPr>
        <w:t>культуры,  центрах</w:t>
      </w:r>
      <w:r>
        <w:rPr>
          <w:rFonts w:ascii="Times New Roman" w:hAnsi="Times New Roman"/>
          <w:sz w:val="24"/>
        </w:rPr>
        <w:t xml:space="preserve"> досуг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 xml:space="preserve"> и других аналогичных учреждениях культурно-досугового типа</w:t>
      </w:r>
    </w:p>
    <w:p w14:paraId="61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3"/>
      </w:tblPr>
      <w:tblGrid>
        <w:gridCol w:w="3216"/>
        <w:gridCol w:w="1445"/>
        <w:gridCol w:w="958"/>
        <w:gridCol w:w="958"/>
        <w:gridCol w:w="958"/>
        <w:gridCol w:w="958"/>
        <w:gridCol w:w="1583"/>
      </w:tblGrid>
      <w:tr>
        <w:trPr>
          <w:trHeight w:hRule="atLeast" w:val="300"/>
        </w:trPr>
        <w:tc>
          <w:tcPr>
            <w:tcW w:type="dxa" w:w="3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должностей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Должностные оклады по группам по оплате труда руководителей, рублей</w:t>
            </w:r>
          </w:p>
        </w:tc>
      </w:tr>
      <w:tr>
        <w:trPr>
          <w:trHeight w:hRule="atLeast" w:val="900"/>
        </w:trPr>
        <w:tc>
          <w:tcPr>
            <w:tcW w:type="dxa" w:w="3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ведущие учреждения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отнесенные к группам</w:t>
            </w:r>
          </w:p>
        </w:tc>
      </w:tr>
      <w:tr>
        <w:trPr>
          <w:trHeight w:hRule="atLeast" w:val="300"/>
        </w:trPr>
        <w:tc>
          <w:tcPr>
            <w:tcW w:type="dxa" w:w="1007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Руководители</w:t>
            </w:r>
          </w:p>
        </w:tc>
      </w:tr>
      <w:tr>
        <w:trPr>
          <w:trHeight w:hRule="atLeast" w:val="1200"/>
        </w:trPr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Художественный руководитель, художественный руководитель филиала организации культуры клубного типа (централизованной (</w:t>
            </w:r>
            <w:r>
              <w:rPr>
                <w:rFonts w:ascii="Times New Roman" w:hAnsi="Times New Roman"/>
                <w:sz w:val="24"/>
              </w:rPr>
              <w:t>межпоселенческой</w:t>
            </w:r>
            <w:r>
              <w:rPr>
                <w:rFonts w:ascii="Times New Roman" w:hAnsi="Times New Roman"/>
                <w:sz w:val="24"/>
              </w:rPr>
              <w:t>) клубной системы)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11 620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 xml:space="preserve"> 244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0 496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047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9 447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178</w:t>
            </w:r>
          </w:p>
        </w:tc>
      </w:tr>
      <w:tr>
        <w:trPr>
          <w:trHeight w:hRule="atLeast" w:val="900"/>
        </w:trPr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 (сектором) дома (дворца) культуры и отдыха, научно-методического центра и других аналогичных организаций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9 447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178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9 178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9 178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</w:tr>
      <w:tr>
        <w:trPr>
          <w:trHeight w:hRule="atLeast" w:val="900"/>
        </w:trPr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филиалом организации культуры клубного типа (централизованной (</w:t>
            </w:r>
            <w:r>
              <w:rPr>
                <w:rFonts w:ascii="Times New Roman" w:hAnsi="Times New Roman"/>
                <w:sz w:val="24"/>
              </w:rPr>
              <w:t>межпоселенческой</w:t>
            </w:r>
            <w:r>
              <w:rPr>
                <w:rFonts w:ascii="Times New Roman" w:hAnsi="Times New Roman"/>
                <w:sz w:val="24"/>
              </w:rPr>
              <w:t>) клубной системы)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 xml:space="preserve"> 169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 xml:space="preserve"> 156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2 482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1 808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 xml:space="preserve"> 47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0 796</w:t>
            </w:r>
          </w:p>
        </w:tc>
      </w:tr>
      <w:tr>
        <w:trPr>
          <w:trHeight w:hRule="atLeast" w:val="600"/>
        </w:trPr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отделением (пунктом) по прокату кино- и видеофильмов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178</w:t>
            </w:r>
          </w:p>
        </w:tc>
        <w:tc>
          <w:tcPr>
            <w:tcW w:type="dxa" w:w="19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8 698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436</w:t>
            </w:r>
          </w:p>
        </w:tc>
      </w:tr>
      <w:tr>
        <w:trPr>
          <w:trHeight w:hRule="atLeast" w:val="1200"/>
        </w:trPr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 (сектором) культурно-досуговых организаций клубного типа, других аналогичных культурно-досуговых организаций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9 447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178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9 178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9 178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Режиссер любительского театра (студии)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172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8 771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8 698</w:t>
            </w:r>
          </w:p>
        </w:tc>
      </w:tr>
      <w:tr>
        <w:trPr>
          <w:trHeight w:hRule="atLeast" w:val="600"/>
        </w:trPr>
        <w:tc>
          <w:tcPr>
            <w:tcW w:type="dxa" w:w="32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172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категория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вторая категория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8 771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8 698</w:t>
            </w:r>
          </w:p>
        </w:tc>
      </w:tr>
      <w:tr>
        <w:trPr>
          <w:trHeight w:hRule="atLeast" w:val="600"/>
        </w:trPr>
        <w:tc>
          <w:tcPr>
            <w:tcW w:type="dxa" w:w="32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172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категория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вторая категория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8 771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8 698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Художник-постановщик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172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категория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вторая категория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8 771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8 698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Аккомпаниатор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148</w:t>
            </w:r>
          </w:p>
        </w:tc>
      </w:tr>
      <w:tr>
        <w:trPr>
          <w:trHeight w:hRule="atLeast" w:val="900"/>
        </w:trPr>
        <w:tc>
          <w:tcPr>
            <w:tcW w:type="dxa" w:w="32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8 771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8 698</w:t>
            </w:r>
          </w:p>
        </w:tc>
      </w:tr>
      <w:tr>
        <w:trPr>
          <w:trHeight w:hRule="atLeast" w:val="135"/>
        </w:trPr>
        <w:tc>
          <w:tcPr>
            <w:tcW w:type="dxa" w:w="32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кружка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8 905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8 771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8 698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Культорганизатор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242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099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6 888</w:t>
            </w:r>
          </w:p>
        </w:tc>
      </w:tr>
      <w:tr>
        <w:trPr>
          <w:trHeight w:hRule="atLeast" w:val="300"/>
        </w:trPr>
        <w:tc>
          <w:tcPr>
            <w:tcW w:type="dxa" w:w="1007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Специалисты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фольклору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397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148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7 909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жанрам творчества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397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148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7 909</w:t>
            </w:r>
          </w:p>
        </w:tc>
      </w:tr>
      <w:tr>
        <w:trPr>
          <w:trHeight w:hRule="atLeast" w:val="535"/>
        </w:trPr>
        <w:tc>
          <w:tcPr>
            <w:tcW w:type="dxa" w:w="32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 клубного учреждения, научно-</w:t>
            </w:r>
            <w:r>
              <w:rPr>
                <w:rFonts w:ascii="Times New Roman" w:hAnsi="Times New Roman"/>
                <w:sz w:val="24"/>
              </w:rPr>
              <w:t>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ведущий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397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148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7 909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59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Звукооператор</w:t>
            </w:r>
          </w:p>
        </w:tc>
        <w:tc>
          <w:tcPr>
            <w:tcW w:type="dxa" w:w="6860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7 909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категория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7 684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вторая категория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59</w:t>
            </w:r>
          </w:p>
        </w:tc>
      </w:tr>
      <w:tr>
        <w:trPr>
          <w:trHeight w:hRule="atLeast" w:val="300"/>
        </w:trPr>
        <w:tc>
          <w:tcPr>
            <w:tcW w:type="dxa" w:w="32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type="dxa" w:w="686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234</w:t>
            </w:r>
          </w:p>
        </w:tc>
      </w:tr>
    </w:tbl>
    <w:p w14:paraId="F4000000">
      <w:pPr>
        <w:pStyle w:val="Style_4"/>
        <w:ind w:firstLine="0" w:left="720"/>
        <w:rPr>
          <w:rFonts w:ascii="Times New Roman" w:hAnsi="Times New Roman"/>
          <w:sz w:val="24"/>
        </w:rPr>
      </w:pPr>
    </w:p>
    <w:p w14:paraId="F5000000">
      <w:pPr>
        <w:pStyle w:val="Style_5"/>
        <w:numPr>
          <w:ilvl w:val="0"/>
          <w:numId w:val="2"/>
        </w:numPr>
        <w:tabs>
          <w:tab w:leader="none" w:pos="1134" w:val="left"/>
        </w:tabs>
        <w:ind/>
        <w:jc w:val="both"/>
        <w:rPr>
          <w:b w:val="0"/>
          <w:sz w:val="24"/>
        </w:rPr>
      </w:pPr>
      <w:r>
        <w:rPr>
          <w:b w:val="0"/>
          <w:sz w:val="24"/>
        </w:rPr>
        <w:t xml:space="preserve">пункт </w:t>
      </w:r>
      <w:r>
        <w:rPr>
          <w:b w:val="0"/>
          <w:sz w:val="24"/>
        </w:rPr>
        <w:t xml:space="preserve">17 </w:t>
      </w:r>
      <w:r>
        <w:rPr>
          <w:b w:val="0"/>
          <w:sz w:val="24"/>
        </w:rPr>
        <w:t xml:space="preserve"> раздела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III</w:t>
      </w:r>
      <w:r>
        <w:rPr>
          <w:b w:val="0"/>
          <w:sz w:val="24"/>
        </w:rPr>
        <w:t xml:space="preserve"> Положения изложить в следующей редакции:</w:t>
      </w:r>
    </w:p>
    <w:p w14:paraId="F600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17.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"consultantplus://offline/ref=C58A82710008F133822DA0AFD0D51BC954BD97FF1BB8E3E850E7F6451F0429EDB74BD34307BA52zE0EH"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ПКГ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утвержденным приказом Министерства здравоохранения и социального развития Российской </w:t>
      </w:r>
      <w:r>
        <w:rPr>
          <w:rFonts w:ascii="Times New Roman" w:hAnsi="Times New Roman"/>
          <w:sz w:val="24"/>
        </w:rPr>
        <w:t>Федераци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29.05.2008 № 247н «Об утверждении профессиональных квалификационных групп общеотраслевых должностей руководителей, специалистов и служащих»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следующих размерах:</w:t>
      </w:r>
    </w:p>
    <w:p w14:paraId="F7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3"/>
      </w:tblPr>
      <w:tblGrid>
        <w:gridCol w:w="7864"/>
        <w:gridCol w:w="2228"/>
      </w:tblGrid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ПКГ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widowControl w:val="0"/>
              <w:spacing w:after="0" w:line="240" w:lineRule="auto"/>
              <w:ind w:firstLine="0"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Должностной оклад, руб.</w:t>
            </w:r>
          </w:p>
        </w:tc>
      </w:tr>
      <w:tr>
        <w:trPr>
          <w:trHeight w:hRule="atLeast" w:val="300"/>
        </w:trPr>
        <w:tc>
          <w:tcPr>
            <w:tcW w:type="dxa" w:w="100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Общеотраслевые должности служащих первого уровня</w:t>
            </w:r>
          </w:p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</w:t>
            </w: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>
        <w:trPr>
          <w:trHeight w:hRule="atLeast" w:val="15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Агент, агент по снабжению, архивариус, делопроизводитель, кассир, комендант, машинистка, секретарь, секретарь-машинистка, паспортист, дежурный (по выдаче справок, общежитию), статистик, экспедитор по перевозке грузов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</w:t>
            </w: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кассир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0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Общеотраслевые должности служащих второго уровня</w:t>
            </w:r>
          </w:p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</w:t>
            </w: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81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Администратор, диспетчер, инспектор по кадрам, художник, лаборант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 всех специальностей без категории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</w:t>
            </w:r>
            <w:r>
              <w:rPr>
                <w:rFonts w:ascii="Times New Roman" w:hAnsi="Times New Roman"/>
                <w:sz w:val="24"/>
              </w:rPr>
              <w:t>39</w:t>
            </w:r>
          </w:p>
        </w:tc>
      </w:tr>
      <w:tr>
        <w:trPr>
          <w:trHeight w:hRule="atLeast" w:val="352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Старший: администратор, диспетчер, инспектор по кадрам, лаборант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 всех специальностей второй категории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31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Заведующие: архивом, камерой хранения, канцелярией, копировально-множительным бюро, складом, хозяйством, фотолабораторией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</w:t>
            </w:r>
            <w:r>
              <w:rPr>
                <w:rFonts w:ascii="Times New Roman" w:hAnsi="Times New Roman"/>
                <w:sz w:val="24"/>
              </w:rPr>
              <w:t>65</w:t>
            </w:r>
          </w:p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 всех специальностей первой категории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63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производством (шеф-повар), общежитием, начальник хозяйственного отдела, заведующий научно-технической библиотекой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6 4</w:t>
            </w:r>
            <w:r>
              <w:rPr>
                <w:rFonts w:ascii="Times New Roman" w:hAnsi="Times New Roman"/>
                <w:sz w:val="24"/>
              </w:rPr>
              <w:t>95</w:t>
            </w:r>
          </w:p>
        </w:tc>
      </w:tr>
      <w:tr>
        <w:trPr>
          <w:trHeight w:hRule="atLeast" w:val="6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техник, мастер участка (включая старшего), механик, начальник автоколонны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>
        <w:trPr>
          <w:trHeight w:hRule="atLeast" w:val="9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гаража, начальник (заведующий) мастерской, начальник ремонтного цеха, начальник смены (участка), начальник цеха (участка)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0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Общеотраслевые должности служащих третьего уровня</w:t>
            </w:r>
          </w:p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6 8</w:t>
            </w: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rPr>
          <w:trHeight w:hRule="atLeast" w:val="18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категории: бухгалтер, </w:t>
            </w:r>
            <w:r>
              <w:rPr>
                <w:rFonts w:ascii="Times New Roman" w:hAnsi="Times New Roman"/>
                <w:sz w:val="24"/>
              </w:rPr>
              <w:t>документовед</w:t>
            </w:r>
            <w:r>
              <w:rPr>
                <w:rFonts w:ascii="Times New Roman" w:hAnsi="Times New Roman"/>
                <w:sz w:val="24"/>
              </w:rPr>
              <w:t>, инженер, инженер по метрологии, инженер по охране труда, инженер-программист (программист), инженер-электроник (электроник), инженер-энергетик (энергетик), психолог, специалист по кадрам, экономист, социолог, юрисконсульт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7 0</w:t>
            </w: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>
        <w:trPr>
          <w:trHeight w:hRule="atLeast" w:val="15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 категория: бухгалтер, </w:t>
            </w:r>
            <w:r>
              <w:rPr>
                <w:rFonts w:ascii="Times New Roman" w:hAnsi="Times New Roman"/>
                <w:sz w:val="24"/>
              </w:rPr>
              <w:t>документовед</w:t>
            </w:r>
            <w:r>
              <w:rPr>
                <w:rFonts w:ascii="Times New Roman" w:hAnsi="Times New Roman"/>
                <w:sz w:val="24"/>
              </w:rPr>
              <w:t>, инженер, инженер по метрологии, инженер по охране труда, инженер-программист (программист), инженер-электроник (электроник), инженер-энергетик (энергетик), психолог, специалист по кадрам, экономист, социолог, юрисконсульт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7 2</w:t>
            </w: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>
        <w:trPr>
          <w:trHeight w:hRule="atLeast" w:val="15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категория: бухгалтер, </w:t>
            </w:r>
            <w:r>
              <w:rPr>
                <w:rFonts w:ascii="Times New Roman" w:hAnsi="Times New Roman"/>
                <w:sz w:val="24"/>
              </w:rPr>
              <w:t>документовед</w:t>
            </w:r>
            <w:r>
              <w:rPr>
                <w:rFonts w:ascii="Times New Roman" w:hAnsi="Times New Roman"/>
                <w:sz w:val="24"/>
              </w:rPr>
              <w:t>, инженер, инженер по метрологии, инженер по охране труда, инженер-программист (программист), инженер-электроник (электроник), инженер-энергетик (энергетик), психолог, специалист по кадрам, экономист, социолог, юрисконсульт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7 4</w:t>
            </w:r>
            <w:r>
              <w:rPr>
                <w:rFonts w:ascii="Times New Roman" w:hAnsi="Times New Roman"/>
                <w:sz w:val="24"/>
              </w:rPr>
              <w:t>58</w:t>
            </w:r>
          </w:p>
        </w:tc>
      </w:tr>
      <w:tr>
        <w:trPr>
          <w:trHeight w:hRule="atLeast" w:val="15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Ведущие: бухгалтер, </w:t>
            </w:r>
            <w:r>
              <w:rPr>
                <w:rFonts w:ascii="Times New Roman" w:hAnsi="Times New Roman"/>
                <w:sz w:val="24"/>
              </w:rPr>
              <w:t>документовед</w:t>
            </w:r>
            <w:r>
              <w:rPr>
                <w:rFonts w:ascii="Times New Roman" w:hAnsi="Times New Roman"/>
                <w:sz w:val="24"/>
              </w:rPr>
              <w:t>, инженер, инженер по метрологии, инженер по охране труда, инженер-программист (программист), инженер-электроник (электроник), инженер-энергетик (энергетик), психолог, специалист по кадрам, экономист, социолог, юрисконсульт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7 6</w:t>
            </w:r>
            <w:r>
              <w:rPr>
                <w:rFonts w:ascii="Times New Roman" w:hAnsi="Times New Roman"/>
                <w:sz w:val="24"/>
              </w:rPr>
              <w:t>76</w:t>
            </w:r>
          </w:p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главного бухгалтера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6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0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10000">
            <w:pPr>
              <w:widowControl w:val="0"/>
              <w:spacing w:after="0" w:line="240" w:lineRule="auto"/>
              <w:ind w:firstLine="0"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Общеотраслевые должности служащих четвертого уровня</w:t>
            </w:r>
          </w:p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7 9</w:t>
            </w:r>
            <w:r>
              <w:rPr>
                <w:rFonts w:ascii="Times New Roman" w:hAnsi="Times New Roman"/>
                <w:sz w:val="24"/>
              </w:rPr>
              <w:t>73</w:t>
            </w:r>
          </w:p>
        </w:tc>
      </w:tr>
      <w:tr>
        <w:trPr>
          <w:trHeight w:hRule="atLeast" w:val="15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Начальники отделов: автоматизированной системы управления производством, информации, кадров, материально-технического снабжения, планово-экономического, технического, финансового, юридического, охраны труда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</w:t>
            </w:r>
            <w:r>
              <w:rPr>
                <w:rFonts w:ascii="Times New Roman" w:hAnsi="Times New Roman"/>
                <w:sz w:val="24"/>
              </w:rPr>
              <w:t>46</w:t>
            </w:r>
          </w:p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Главные: механик, энергетик, технолог &lt;*&gt;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10 9</w:t>
            </w:r>
            <w:r>
              <w:rPr>
                <w:rFonts w:ascii="Times New Roman" w:hAnsi="Times New Roman"/>
                <w:sz w:val="24"/>
              </w:rPr>
              <w:t>96</w:t>
            </w:r>
          </w:p>
        </w:tc>
      </w:tr>
      <w:tr>
        <w:trPr>
          <w:trHeight w:hRule="atLeast" w:val="600"/>
        </w:trPr>
        <w:tc>
          <w:tcPr>
            <w:tcW w:type="dxa" w:w="7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</w:tbl>
    <w:p w14:paraId="30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31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32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Должностные оклады заместителей руководителей структурных подразделений устанавливаются на 10 – 20 % ниже должностных окладов соответствующих руководителей.</w:t>
      </w:r>
      <w:r>
        <w:rPr>
          <w:rFonts w:ascii="Times New Roman" w:hAnsi="Times New Roman"/>
          <w:sz w:val="24"/>
        </w:rPr>
        <w:t>»;</w:t>
      </w:r>
    </w:p>
    <w:p w14:paraId="33010000">
      <w:pPr>
        <w:pStyle w:val="Style_5"/>
        <w:numPr>
          <w:ilvl w:val="0"/>
          <w:numId w:val="2"/>
        </w:numPr>
        <w:tabs>
          <w:tab w:leader="none" w:pos="1134" w:val="left"/>
        </w:tabs>
        <w:ind/>
        <w:jc w:val="both"/>
        <w:rPr>
          <w:b w:val="0"/>
          <w:sz w:val="24"/>
        </w:rPr>
      </w:pPr>
      <w:r>
        <w:rPr>
          <w:b w:val="0"/>
          <w:sz w:val="24"/>
        </w:rPr>
        <w:t xml:space="preserve">пункт </w:t>
      </w:r>
      <w:r>
        <w:rPr>
          <w:b w:val="0"/>
          <w:sz w:val="24"/>
        </w:rPr>
        <w:t xml:space="preserve">20 </w:t>
      </w:r>
      <w:r>
        <w:rPr>
          <w:b w:val="0"/>
          <w:sz w:val="24"/>
        </w:rPr>
        <w:t xml:space="preserve"> раздела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IV</w:t>
      </w:r>
      <w:r>
        <w:rPr>
          <w:b w:val="0"/>
          <w:sz w:val="24"/>
        </w:rPr>
        <w:t xml:space="preserve"> Положения изложить в следующей редакции:</w:t>
      </w:r>
    </w:p>
    <w:p w14:paraId="34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20.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</w:t>
      </w:r>
      <w:r>
        <w:rPr>
          <w:rFonts w:ascii="Times New Roman" w:hAnsi="Times New Roman"/>
          <w:sz w:val="24"/>
        </w:rPr>
        <w:t xml:space="preserve"> устанавливаются в следующих размерах</w:t>
      </w:r>
      <w:r>
        <w:rPr>
          <w:rFonts w:ascii="Times New Roman" w:hAnsi="Times New Roman"/>
          <w:sz w:val="24"/>
        </w:rPr>
        <w:t>:</w:t>
      </w:r>
    </w:p>
    <w:p w14:paraId="35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646"/>
        <w:gridCol w:w="2461"/>
      </w:tblGrid>
      <w:tr>
        <w:trPr>
          <w:trHeight w:hRule="atLeast" w:val="653"/>
        </w:trPr>
        <w:tc>
          <w:tcPr>
            <w:tcW w:type="dxa" w:w="7646"/>
            <w:shd w:fill="auto" w:val="clear"/>
            <w:vAlign w:val="bottom"/>
          </w:tcPr>
          <w:p w14:paraId="3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type="dxa" w:w="2461"/>
            <w:shd w:fill="auto" w:val="clear"/>
            <w:vAlign w:val="center"/>
          </w:tcPr>
          <w:p w14:paraId="3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клад, руб.</w:t>
            </w:r>
          </w:p>
        </w:tc>
      </w:tr>
      <w:tr>
        <w:trPr>
          <w:trHeight w:hRule="atLeast" w:val="301"/>
        </w:trPr>
        <w:tc>
          <w:tcPr>
            <w:tcW w:type="dxa" w:w="7646"/>
            <w:shd w:fill="auto" w:val="clear"/>
          </w:tcPr>
          <w:p w14:paraId="3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1 разряд</w:t>
            </w:r>
          </w:p>
        </w:tc>
        <w:tc>
          <w:tcPr>
            <w:tcW w:type="dxa" w:w="2461"/>
            <w:shd w:fill="auto" w:val="clear"/>
            <w:vAlign w:val="bottom"/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3 987</w:t>
            </w:r>
          </w:p>
        </w:tc>
      </w:tr>
      <w:tr>
        <w:trPr>
          <w:trHeight w:hRule="atLeast" w:val="20"/>
        </w:trPr>
        <w:tc>
          <w:tcPr>
            <w:tcW w:type="dxa" w:w="7646"/>
            <w:shd w:fill="auto" w:val="clear"/>
            <w:vAlign w:val="center"/>
          </w:tcPr>
          <w:p w14:paraId="3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разряд</w:t>
            </w:r>
          </w:p>
        </w:tc>
        <w:tc>
          <w:tcPr>
            <w:tcW w:type="dxa" w:w="2461"/>
            <w:shd w:fill="auto" w:val="clear"/>
            <w:vAlign w:val="bottom"/>
          </w:tcPr>
          <w:p w14:paraId="3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>
        <w:trPr>
          <w:trHeight w:hRule="atLeast" w:val="20"/>
        </w:trPr>
        <w:tc>
          <w:tcPr>
            <w:tcW w:type="dxa" w:w="7646"/>
            <w:shd w:fill="auto" w:val="clear"/>
            <w:vAlign w:val="center"/>
          </w:tcPr>
          <w:p w14:paraId="3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 разряд</w:t>
            </w:r>
          </w:p>
        </w:tc>
        <w:tc>
          <w:tcPr>
            <w:tcW w:type="dxa" w:w="2461"/>
            <w:shd w:fill="auto" w:val="clear"/>
            <w:vAlign w:val="bottom"/>
          </w:tcPr>
          <w:p w14:paraId="3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rPr>
          <w:trHeight w:hRule="atLeast" w:val="20"/>
        </w:trPr>
        <w:tc>
          <w:tcPr>
            <w:tcW w:type="dxa" w:w="7646"/>
            <w:shd w:fill="auto" w:val="clear"/>
            <w:vAlign w:val="center"/>
          </w:tcPr>
          <w:p w14:paraId="3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 разряд</w:t>
            </w:r>
          </w:p>
        </w:tc>
        <w:tc>
          <w:tcPr>
            <w:tcW w:type="dxa" w:w="2461"/>
            <w:shd w:fill="auto" w:val="clear"/>
            <w:vAlign w:val="bottom"/>
          </w:tcPr>
          <w:p w14:paraId="3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0"/>
        </w:trPr>
        <w:tc>
          <w:tcPr>
            <w:tcW w:type="dxa" w:w="7646"/>
            <w:shd w:fill="auto" w:val="clear"/>
            <w:vAlign w:val="center"/>
          </w:tcPr>
          <w:p w14:paraId="4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5 разряд</w:t>
            </w:r>
          </w:p>
        </w:tc>
        <w:tc>
          <w:tcPr>
            <w:tcW w:type="dxa" w:w="2461"/>
            <w:shd w:fill="auto" w:val="clear"/>
            <w:vAlign w:val="bottom"/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39</w:t>
            </w:r>
          </w:p>
        </w:tc>
      </w:tr>
      <w:tr>
        <w:trPr>
          <w:trHeight w:hRule="atLeast" w:val="20"/>
        </w:trPr>
        <w:tc>
          <w:tcPr>
            <w:tcW w:type="dxa" w:w="7646"/>
            <w:shd w:fill="auto" w:val="clear"/>
            <w:vAlign w:val="center"/>
          </w:tcPr>
          <w:p w14:paraId="4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6 разряд</w:t>
            </w:r>
          </w:p>
        </w:tc>
        <w:tc>
          <w:tcPr>
            <w:tcW w:type="dxa" w:w="2461"/>
            <w:shd w:fill="auto" w:val="clear"/>
            <w:vAlign w:val="bottom"/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65</w:t>
            </w:r>
          </w:p>
        </w:tc>
      </w:tr>
      <w:tr>
        <w:trPr>
          <w:trHeight w:hRule="atLeast" w:val="20"/>
        </w:trPr>
        <w:tc>
          <w:tcPr>
            <w:tcW w:type="dxa" w:w="7646"/>
            <w:shd w:fill="auto" w:val="clear"/>
            <w:vAlign w:val="center"/>
          </w:tcPr>
          <w:p w14:paraId="4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7 разряд</w:t>
            </w:r>
          </w:p>
        </w:tc>
        <w:tc>
          <w:tcPr>
            <w:tcW w:type="dxa" w:w="2461"/>
            <w:shd w:fill="auto" w:val="clear"/>
            <w:vAlign w:val="bottom"/>
          </w:tcPr>
          <w:p w14:paraId="4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95</w:t>
            </w:r>
          </w:p>
        </w:tc>
      </w:tr>
      <w:tr>
        <w:trPr>
          <w:trHeight w:hRule="atLeast" w:val="20"/>
        </w:trPr>
        <w:tc>
          <w:tcPr>
            <w:tcW w:type="dxa" w:w="7646"/>
            <w:shd w:fill="auto" w:val="clear"/>
            <w:vAlign w:val="center"/>
          </w:tcPr>
          <w:p w14:paraId="4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8 разряд</w:t>
            </w:r>
          </w:p>
        </w:tc>
        <w:tc>
          <w:tcPr>
            <w:tcW w:type="dxa" w:w="2461"/>
            <w:shd w:fill="auto" w:val="clear"/>
            <w:vAlign w:val="bottom"/>
          </w:tcPr>
          <w:p w14:paraId="4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</w:tr>
    </w:tbl>
    <w:p w14:paraId="48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»;</w:t>
      </w:r>
    </w:p>
    <w:p w14:paraId="49010000">
      <w:pPr>
        <w:pStyle w:val="Style_5"/>
        <w:numPr>
          <w:ilvl w:val="0"/>
          <w:numId w:val="2"/>
        </w:numPr>
        <w:tabs>
          <w:tab w:leader="none" w:pos="709" w:val="left"/>
          <w:tab w:leader="none" w:pos="1134" w:val="left"/>
        </w:tabs>
        <w:ind/>
        <w:jc w:val="both"/>
        <w:rPr>
          <w:b w:val="0"/>
          <w:sz w:val="24"/>
        </w:rPr>
      </w:pPr>
      <w:r>
        <w:rPr>
          <w:b w:val="0"/>
          <w:sz w:val="24"/>
        </w:rPr>
        <w:t xml:space="preserve">подпункты а </w:t>
      </w:r>
      <w:r>
        <w:rPr>
          <w:sz w:val="24"/>
        </w:rPr>
        <w:t>–</w:t>
      </w:r>
      <w:r>
        <w:rPr>
          <w:b w:val="0"/>
          <w:sz w:val="24"/>
        </w:rPr>
        <w:t xml:space="preserve"> в пункта </w:t>
      </w:r>
      <w:r>
        <w:rPr>
          <w:b w:val="0"/>
          <w:sz w:val="24"/>
        </w:rPr>
        <w:t xml:space="preserve">23 </w:t>
      </w:r>
      <w:r>
        <w:rPr>
          <w:b w:val="0"/>
          <w:sz w:val="24"/>
        </w:rPr>
        <w:t xml:space="preserve"> раздела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V</w:t>
      </w:r>
      <w:r>
        <w:rPr>
          <w:b w:val="0"/>
          <w:sz w:val="24"/>
        </w:rPr>
        <w:t xml:space="preserve"> Положения изложить в следующей редакции:</w:t>
      </w:r>
    </w:p>
    <w:p w14:paraId="4A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sz w:val="24"/>
        </w:rPr>
        <w:t>«</w:t>
      </w:r>
      <w:r>
        <w:rPr>
          <w:rFonts w:ascii="Times New Roman" w:hAnsi="Times New Roman"/>
          <w:sz w:val="24"/>
        </w:rPr>
        <w:t>а) руководители муниципальных учреждений исполнительских искусств (театров, музыкальных и танцевальных коллективов, концертных организаций, концертных залов, цирков и т.п.):</w:t>
      </w:r>
    </w:p>
    <w:p w14:paraId="4B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художественный руководитель, директор (генеральный директ</w:t>
      </w:r>
      <w:r>
        <w:rPr>
          <w:rFonts w:ascii="Times New Roman" w:hAnsi="Times New Roman"/>
          <w:sz w:val="24"/>
        </w:rPr>
        <w:t>ор) ведущего учреждения – 16 720 рубль</w:t>
      </w:r>
      <w:r>
        <w:rPr>
          <w:rFonts w:ascii="Times New Roman" w:hAnsi="Times New Roman"/>
          <w:sz w:val="24"/>
        </w:rPr>
        <w:t>;</w:t>
      </w:r>
    </w:p>
    <w:p w14:paraId="4C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художественный руководитель, директор (генеральный директ</w:t>
      </w:r>
      <w:r>
        <w:rPr>
          <w:rFonts w:ascii="Times New Roman" w:hAnsi="Times New Roman"/>
          <w:sz w:val="24"/>
        </w:rPr>
        <w:t>ор) учреждения I группы – 13 084</w:t>
      </w:r>
      <w:r>
        <w:rPr>
          <w:rFonts w:ascii="Times New Roman" w:hAnsi="Times New Roman"/>
          <w:sz w:val="24"/>
        </w:rPr>
        <w:t xml:space="preserve"> рублей;</w:t>
      </w:r>
    </w:p>
    <w:p w14:paraId="4D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художественный руководитель, директор (генеральный директор) </w:t>
      </w:r>
      <w:r>
        <w:rPr>
          <w:rFonts w:ascii="Times New Roman" w:hAnsi="Times New Roman"/>
          <w:sz w:val="24"/>
        </w:rPr>
        <w:t xml:space="preserve">учреждения II группы – 11 </w:t>
      </w:r>
      <w:r>
        <w:rPr>
          <w:rFonts w:ascii="Times New Roman" w:hAnsi="Times New Roman"/>
          <w:sz w:val="24"/>
        </w:rPr>
        <w:t>631  рублей</w:t>
      </w:r>
      <w:r>
        <w:rPr>
          <w:rFonts w:ascii="Times New Roman" w:hAnsi="Times New Roman"/>
          <w:sz w:val="24"/>
        </w:rPr>
        <w:t>;</w:t>
      </w:r>
    </w:p>
    <w:p w14:paraId="4E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руководители библиотек, музеев, и других учреждений музейного типа, фильмофонда:</w:t>
      </w:r>
    </w:p>
    <w:p w14:paraId="4F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</w:t>
      </w:r>
      <w:r>
        <w:rPr>
          <w:rFonts w:ascii="Times New Roman" w:hAnsi="Times New Roman"/>
          <w:sz w:val="24"/>
        </w:rPr>
        <w:t>тра ведущего учреждения – 15 266 рублей</w:t>
      </w:r>
      <w:r>
        <w:rPr>
          <w:rFonts w:ascii="Times New Roman" w:hAnsi="Times New Roman"/>
          <w:sz w:val="24"/>
        </w:rPr>
        <w:t>;</w:t>
      </w:r>
    </w:p>
    <w:p w14:paraId="50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 группы по опл</w:t>
      </w:r>
      <w:r>
        <w:rPr>
          <w:rFonts w:ascii="Times New Roman" w:hAnsi="Times New Roman"/>
          <w:sz w:val="24"/>
        </w:rPr>
        <w:t>ате труда руководителей – 14 176</w:t>
      </w:r>
      <w:r>
        <w:rPr>
          <w:rFonts w:ascii="Times New Roman" w:hAnsi="Times New Roman"/>
          <w:sz w:val="24"/>
        </w:rPr>
        <w:t xml:space="preserve"> рублей;</w:t>
      </w:r>
    </w:p>
    <w:p w14:paraId="51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 группы по опл</w:t>
      </w:r>
      <w:r>
        <w:rPr>
          <w:rFonts w:ascii="Times New Roman" w:hAnsi="Times New Roman"/>
          <w:sz w:val="24"/>
        </w:rPr>
        <w:t>ате труда руководителей – 13 447</w:t>
      </w:r>
      <w:r>
        <w:rPr>
          <w:rFonts w:ascii="Times New Roman" w:hAnsi="Times New Roman"/>
          <w:sz w:val="24"/>
        </w:rPr>
        <w:t xml:space="preserve"> рублей;</w:t>
      </w:r>
    </w:p>
    <w:p w14:paraId="52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III группы по опл</w:t>
      </w:r>
      <w:r>
        <w:rPr>
          <w:rFonts w:ascii="Times New Roman" w:hAnsi="Times New Roman"/>
          <w:sz w:val="24"/>
        </w:rPr>
        <w:t>ате труда руководителей – 12 723 рубль</w:t>
      </w:r>
      <w:r>
        <w:rPr>
          <w:rFonts w:ascii="Times New Roman" w:hAnsi="Times New Roman"/>
          <w:sz w:val="24"/>
        </w:rPr>
        <w:t>;</w:t>
      </w:r>
    </w:p>
    <w:p w14:paraId="53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IV группы по опл</w:t>
      </w:r>
      <w:r>
        <w:rPr>
          <w:rFonts w:ascii="Times New Roman" w:hAnsi="Times New Roman"/>
          <w:sz w:val="24"/>
        </w:rPr>
        <w:t>ате труда руководителей – 12 357</w:t>
      </w:r>
      <w:r>
        <w:rPr>
          <w:rFonts w:ascii="Times New Roman" w:hAnsi="Times New Roman"/>
          <w:sz w:val="24"/>
        </w:rPr>
        <w:t xml:space="preserve"> рублей;</w:t>
      </w:r>
    </w:p>
    <w:p w14:paraId="54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учреждения, не отнесенного к группе по оплате труда руководителей –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11 631 рублей</w:t>
      </w:r>
      <w:r>
        <w:rPr>
          <w:rFonts w:ascii="Times New Roman" w:hAnsi="Times New Roman"/>
          <w:sz w:val="24"/>
        </w:rPr>
        <w:t>;</w:t>
      </w:r>
    </w:p>
    <w:p w14:paraId="55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кинотеатрах и других аналогичных учреждений культурно-досугового типа):</w:t>
      </w:r>
    </w:p>
    <w:p w14:paraId="56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(заведующ</w:t>
      </w:r>
      <w:r>
        <w:rPr>
          <w:rFonts w:ascii="Times New Roman" w:hAnsi="Times New Roman"/>
          <w:sz w:val="24"/>
        </w:rPr>
        <w:t>ий) ведущего учреждения – 15 266</w:t>
      </w:r>
      <w:r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>;</w:t>
      </w:r>
    </w:p>
    <w:p w14:paraId="57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художественный руководитель ведущего муниципального учреждения культуры Тверской области, осуществляющий руководство муниципальным автономным учреждением культуры Сандовского района Тверской области, –</w:t>
      </w:r>
      <w:r>
        <w:rPr>
          <w:rFonts w:ascii="Times New Roman" w:hAnsi="Times New Roman"/>
          <w:sz w:val="24"/>
        </w:rPr>
        <w:t xml:space="preserve"> 15 266 рублей</w:t>
      </w:r>
      <w:r>
        <w:rPr>
          <w:rFonts w:ascii="Times New Roman" w:hAnsi="Times New Roman"/>
          <w:sz w:val="24"/>
        </w:rPr>
        <w:t>;</w:t>
      </w:r>
    </w:p>
    <w:p w14:paraId="58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(заведующий) учреждения I группы по опл</w:t>
      </w:r>
      <w:r>
        <w:rPr>
          <w:rFonts w:ascii="Times New Roman" w:hAnsi="Times New Roman"/>
          <w:sz w:val="24"/>
        </w:rPr>
        <w:t>ате труда руководителей – 14 176</w:t>
      </w:r>
      <w:r>
        <w:rPr>
          <w:rFonts w:ascii="Times New Roman" w:hAnsi="Times New Roman"/>
          <w:sz w:val="24"/>
        </w:rPr>
        <w:t xml:space="preserve"> рублей;</w:t>
      </w:r>
    </w:p>
    <w:p w14:paraId="59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(заведующий) учреждения II группы по опл</w:t>
      </w:r>
      <w:r>
        <w:rPr>
          <w:rFonts w:ascii="Times New Roman" w:hAnsi="Times New Roman"/>
          <w:sz w:val="24"/>
        </w:rPr>
        <w:t>ате труда руководителей – 13 447</w:t>
      </w:r>
      <w:r>
        <w:rPr>
          <w:rFonts w:ascii="Times New Roman" w:hAnsi="Times New Roman"/>
          <w:sz w:val="24"/>
        </w:rPr>
        <w:t xml:space="preserve"> рублей;</w:t>
      </w:r>
    </w:p>
    <w:p w14:paraId="5A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(заведующий) учреждения III группы по опл</w:t>
      </w:r>
      <w:r>
        <w:rPr>
          <w:rFonts w:ascii="Times New Roman" w:hAnsi="Times New Roman"/>
          <w:sz w:val="24"/>
        </w:rPr>
        <w:t>ате труда руководителей – 12 723 рубль</w:t>
      </w:r>
      <w:r>
        <w:rPr>
          <w:rFonts w:ascii="Times New Roman" w:hAnsi="Times New Roman"/>
          <w:sz w:val="24"/>
        </w:rPr>
        <w:t>;</w:t>
      </w:r>
    </w:p>
    <w:p w14:paraId="5B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(заведующий) учреждения IV группы по</w:t>
      </w:r>
      <w:r>
        <w:rPr>
          <w:rFonts w:ascii="Times New Roman" w:hAnsi="Times New Roman"/>
          <w:sz w:val="24"/>
        </w:rPr>
        <w:t xml:space="preserve"> оплате труда руководителей – 12 357</w:t>
      </w:r>
      <w:r>
        <w:rPr>
          <w:rFonts w:ascii="Times New Roman" w:hAnsi="Times New Roman"/>
          <w:sz w:val="24"/>
        </w:rPr>
        <w:t xml:space="preserve"> рублей;</w:t>
      </w:r>
    </w:p>
    <w:p w14:paraId="5C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(заведующий) учреждения, не отнесенного к группе по оплате </w:t>
      </w:r>
      <w:r>
        <w:rPr>
          <w:rFonts w:ascii="Times New Roman" w:hAnsi="Times New Roman"/>
          <w:sz w:val="24"/>
        </w:rPr>
        <w:t>труда руководителей – 11 631 рублей.»;</w:t>
      </w:r>
    </w:p>
    <w:p w14:paraId="5D010000">
      <w:pPr>
        <w:pStyle w:val="Style_4"/>
        <w:numPr>
          <w:ilvl w:val="0"/>
          <w:numId w:val="2"/>
        </w:numPr>
        <w:ind/>
        <w:jc w:val="both"/>
        <w:outlineLvl w:val="1"/>
        <w:rPr>
          <w:rFonts w:ascii="Times New Roman" w:hAnsi="Times New Roman"/>
          <w:sz w:val="24"/>
        </w:rPr>
      </w:pPr>
      <w:bookmarkStart w:id="2" w:name="_Hlk25048079"/>
      <w:r>
        <w:rPr>
          <w:rFonts w:ascii="Times New Roman" w:hAnsi="Times New Roman"/>
          <w:sz w:val="24"/>
        </w:rPr>
        <w:t xml:space="preserve">в пункте 29 раздела </w:t>
      </w:r>
      <w:r>
        <w:rPr>
          <w:rFonts w:ascii="Times New Roman" w:hAnsi="Times New Roman"/>
          <w:sz w:val="24"/>
        </w:rPr>
        <w:t>VII</w:t>
      </w:r>
      <w:r>
        <w:rPr>
          <w:rFonts w:ascii="Times New Roman" w:hAnsi="Times New Roman"/>
          <w:sz w:val="24"/>
        </w:rPr>
        <w:t xml:space="preserve"> Положения исключить слова </w:t>
      </w:r>
      <w:r>
        <w:rPr>
          <w:rFonts w:ascii="Times New Roman" w:hAnsi="Times New Roman"/>
          <w:sz w:val="24"/>
        </w:rPr>
        <w:t xml:space="preserve">«без других доплат и надбавок </w:t>
      </w:r>
      <w:r>
        <w:rPr>
          <w:rFonts w:ascii="Times New Roman" w:hAnsi="Times New Roman"/>
          <w:sz w:val="24"/>
        </w:rPr>
        <w:t>к должностному окладу (окладу)»;</w:t>
      </w:r>
    </w:p>
    <w:p w14:paraId="5E010000">
      <w:pPr>
        <w:pStyle w:val="Style_4"/>
        <w:ind w:firstLine="0" w:left="720"/>
        <w:jc w:val="both"/>
        <w:outlineLvl w:val="1"/>
        <w:rPr>
          <w:rFonts w:ascii="Times New Roman" w:hAnsi="Times New Roman"/>
          <w:sz w:val="24"/>
        </w:rPr>
      </w:pPr>
    </w:p>
    <w:p w14:paraId="5F010000">
      <w:pPr>
        <w:pStyle w:val="Style_4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bookmarkStart w:id="3" w:name="P1261"/>
      <w:bookmarkEnd w:id="2"/>
      <w:bookmarkEnd w:id="3"/>
      <w:r>
        <w:rPr>
          <w:rFonts w:ascii="Times New Roman" w:hAnsi="Times New Roman"/>
          <w:sz w:val="24"/>
        </w:rPr>
        <w:t xml:space="preserve">в разделе </w:t>
      </w:r>
      <w:r>
        <w:rPr>
          <w:rFonts w:ascii="Times New Roman" w:hAnsi="Times New Roman"/>
          <w:sz w:val="24"/>
        </w:rPr>
        <w:t>VII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Положения:</w:t>
      </w:r>
    </w:p>
    <w:p w14:paraId="60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пункт </w:t>
      </w:r>
      <w:r>
        <w:rPr>
          <w:rFonts w:ascii="Times New Roman" w:hAnsi="Times New Roman"/>
          <w:sz w:val="24"/>
        </w:rPr>
        <w:t>38</w:t>
      </w:r>
      <w:r>
        <w:rPr>
          <w:rFonts w:ascii="Times New Roman" w:hAnsi="Times New Roman"/>
          <w:sz w:val="24"/>
        </w:rPr>
        <w:t xml:space="preserve"> дополнить словами «</w:t>
      </w:r>
      <w:r>
        <w:rPr>
          <w:rFonts w:ascii="Times New Roman" w:hAnsi="Times New Roman"/>
          <w:sz w:val="24"/>
        </w:rPr>
        <w:t>При этом расчет соответствующей компенсации осуществляется с учетом компенсационных и стимулирующих выплат</w:t>
      </w:r>
      <w:r>
        <w:rPr>
          <w:rFonts w:ascii="Times New Roman" w:hAnsi="Times New Roman"/>
          <w:sz w:val="24"/>
        </w:rPr>
        <w:t>.»;</w:t>
      </w:r>
    </w:p>
    <w:p w14:paraId="61010000">
      <w:pPr>
        <w:pStyle w:val="Style_4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пункт  </w:t>
      </w:r>
      <w:r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изложить в следующей редакции:</w:t>
      </w:r>
    </w:p>
    <w:p w14:paraId="62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>. Д</w:t>
      </w:r>
      <w:r>
        <w:rPr>
          <w:rFonts w:ascii="Times New Roman" w:hAnsi="Times New Roman"/>
          <w:sz w:val="24"/>
        </w:rPr>
        <w:t>оплат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– не менее чем в двойном размере от должностного оклада (оклада) при условии, если эта работа не компенсировалась предоставлением по желанию работника дополнительного времени отдыха.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Конкретные размеры оплаты за сверхурочную работу определяются коллективным договором, локальным нормативным актом или трудовым договором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»; </w:t>
      </w:r>
    </w:p>
    <w:p w14:paraId="63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 в приложении 2 к Положению:</w:t>
      </w:r>
    </w:p>
    <w:p w14:paraId="64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названии приложения исключить слова «, их руководителей и работников по видам учреждений и основным категориям работников»;</w:t>
      </w:r>
    </w:p>
    <w:p w14:paraId="65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названии раздела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 приложения исключить слова «, их руководителям и основным категориям работников»;</w:t>
      </w:r>
    </w:p>
    <w:p w14:paraId="66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приложения дополнить пунктами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следующего содержания:</w:t>
      </w:r>
    </w:p>
    <w:p w14:paraId="67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Показателями эффективности деятельности, применимыми ко всем видам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z w:val="24"/>
        </w:rPr>
        <w:t xml:space="preserve"> учреждений культуры </w:t>
      </w:r>
      <w:r>
        <w:rPr>
          <w:rFonts w:ascii="Times New Roman" w:hAnsi="Times New Roman"/>
          <w:sz w:val="24"/>
        </w:rPr>
        <w:t>Сандовского района</w:t>
      </w:r>
      <w:r>
        <w:rPr>
          <w:rFonts w:ascii="Times New Roman" w:hAnsi="Times New Roman"/>
          <w:sz w:val="24"/>
        </w:rPr>
        <w:t xml:space="preserve"> Тверской области для работников, занимающих общеотраслевые должности служащих:</w:t>
      </w:r>
    </w:p>
    <w:p w14:paraId="68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отсутствие грубых нарушений санитарно-эпидемиологического и противопожарного режимов в учреждении;</w:t>
      </w:r>
    </w:p>
    <w:p w14:paraId="69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своевременная подготовка учреждения к осенне-зимнему сезону;</w:t>
      </w:r>
    </w:p>
    <w:p w14:paraId="6A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освоение новых технических средств и методов работы;</w:t>
      </w:r>
    </w:p>
    <w:p w14:paraId="6B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обеспечение бесперебойной работы автотранспорта, оборудования, техники, различной аппаратуры;</w:t>
      </w:r>
    </w:p>
    <w:p w14:paraId="6C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обеспечение сохранности, комплектности и своевременного списания технических средств и аппаратуры;</w:t>
      </w:r>
    </w:p>
    <w:p w14:paraId="6D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своевременное и качественное представление отчетности;</w:t>
      </w:r>
    </w:p>
    <w:p w14:paraId="6E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соблюдение финансово-бюджетной дисциплины;</w:t>
      </w:r>
    </w:p>
    <w:p w14:paraId="6F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отсутствие нарушений штатной и финансовой дисциплины;</w:t>
      </w:r>
    </w:p>
    <w:p w14:paraId="70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и) выполнение и перевыполнение плановых показателей.</w:t>
      </w:r>
    </w:p>
    <w:p w14:paraId="7101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Показателями эффективности деятельности, применимыми ко всем видам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z w:val="24"/>
        </w:rPr>
        <w:t xml:space="preserve"> учреждений культуры </w:t>
      </w:r>
      <w:r>
        <w:rPr>
          <w:rFonts w:ascii="Times New Roman" w:hAnsi="Times New Roman"/>
          <w:sz w:val="24"/>
        </w:rPr>
        <w:t>Сандовского района</w:t>
      </w:r>
      <w:r>
        <w:rPr>
          <w:rFonts w:ascii="Times New Roman" w:hAnsi="Times New Roman"/>
          <w:sz w:val="24"/>
        </w:rPr>
        <w:t xml:space="preserve"> Тверской области для </w:t>
      </w:r>
      <w:r>
        <w:rPr>
          <w:rFonts w:ascii="Times New Roman" w:hAnsi="Times New Roman"/>
          <w:sz w:val="24"/>
        </w:rPr>
        <w:t>работников, осуществляющих профессиональную деятельность по профессиям рабочих</w:t>
      </w:r>
      <w:r>
        <w:rPr>
          <w:rFonts w:ascii="Times New Roman" w:hAnsi="Times New Roman"/>
          <w:sz w:val="24"/>
        </w:rPr>
        <w:t>:</w:t>
      </w:r>
    </w:p>
    <w:p w14:paraId="72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обеспечение бесперебойной, безаварийной работы автотранспорта, оборудования, техники и различной аппаратуры; </w:t>
      </w:r>
    </w:p>
    <w:p w14:paraId="73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отсутствие нарушений санитарно-эпидемиологического режима;</w:t>
      </w:r>
    </w:p>
    <w:p w14:paraId="74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успешное и добросовестное исполнение рабочим своих обязанностей в соответствующем периоде.</w:t>
      </w:r>
    </w:p>
    <w:p w14:paraId="75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муниципаль</w:t>
      </w:r>
      <w:r>
        <w:rPr>
          <w:rFonts w:ascii="Times New Roman" w:hAnsi="Times New Roman"/>
          <w:sz w:val="24"/>
        </w:rPr>
        <w:t>ных учреждениях культуры в зависимости от особенностей деятельности могут вводиться иные показатели оценки качества работы подразделений и отдельных работников (рабочих) локальными нормативными актами.»</w:t>
      </w:r>
    </w:p>
    <w:p w14:paraId="76010000">
      <w:pPr>
        <w:pStyle w:val="Style_6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2.Настоящее постановление вступает в силу со дня его подписания и распространяется на правоотношения, возникшие </w:t>
      </w:r>
      <w:r>
        <w:rPr>
          <w:rFonts w:ascii="Times New Roman" w:hAnsi="Times New Roman"/>
          <w:sz w:val="24"/>
        </w:rPr>
        <w:t xml:space="preserve">с 1 октября 2019 года, </w:t>
      </w:r>
      <w:r>
        <w:rPr>
          <w:rFonts w:ascii="Times New Roman" w:hAnsi="Times New Roman"/>
          <w:color w:val="000000"/>
          <w:sz w:val="24"/>
        </w:rPr>
        <w:t>подлежит размещению на официальном сайте администрации Сандовского района Тверской области в информационно-телекомуникационной сети "Интернет".</w:t>
      </w:r>
    </w:p>
    <w:p w14:paraId="77010000">
      <w:pPr>
        <w:pStyle w:val="Style_6"/>
        <w:ind w:firstLine="0" w:left="1080"/>
        <w:jc w:val="both"/>
        <w:rPr>
          <w:rFonts w:ascii="Times New Roman" w:hAnsi="Times New Roman"/>
          <w:sz w:val="28"/>
        </w:rPr>
      </w:pPr>
    </w:p>
    <w:p w14:paraId="78010000">
      <w:pPr>
        <w:pStyle w:val="Style_6"/>
        <w:ind w:firstLine="0" w:left="1080"/>
        <w:jc w:val="both"/>
        <w:rPr>
          <w:rFonts w:ascii="Times New Roman" w:hAnsi="Times New Roman"/>
          <w:sz w:val="28"/>
        </w:rPr>
      </w:pPr>
    </w:p>
    <w:p w14:paraId="79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</w:t>
      </w:r>
      <w:r>
        <w:rPr>
          <w:rFonts w:ascii="Times New Roman" w:hAnsi="Times New Roman"/>
          <w:sz w:val="28"/>
        </w:rPr>
        <w:t xml:space="preserve">района                   </w:t>
      </w:r>
      <w:r>
        <w:rPr>
          <w:rFonts w:ascii="Times New Roman" w:hAnsi="Times New Roman"/>
          <w:sz w:val="28"/>
        </w:rPr>
        <w:t xml:space="preserve">                            О.Н. Грязнов</w:t>
      </w:r>
      <w:bookmarkStart w:id="4" w:name="_GoBack"/>
      <w:bookmarkEnd w:id="4"/>
    </w:p>
    <w:sectPr>
      <w:pgSz w:h="16838" w:w="11906"/>
      <w:pgMar w:bottom="568" w:footer="0" w:gutter="0" w:header="0" w:left="1134" w:right="70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1080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2.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rFonts w:ascii="Calibri" w:hAnsi="Calibri"/>
      <w:color w:val="00000A"/>
      <w:sz w:val="22"/>
    </w:rPr>
  </w:style>
  <w:style w:default="1" w:styleId="Style_7_ch" w:type="character">
    <w:name w:val="Normal"/>
    <w:link w:val="Style_7"/>
    <w:rPr>
      <w:rFonts w:ascii="Calibri" w:hAnsi="Calibri"/>
      <w:color w:val="00000A"/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5" w:type="paragraph">
    <w:name w:val="ConsPlusTitle"/>
    <w:link w:val="Style_5_ch"/>
    <w:pPr>
      <w:widowControl w:val="0"/>
      <w:ind/>
    </w:pPr>
    <w:rPr>
      <w:rFonts w:ascii="Times New Roman" w:hAnsi="Times New Roman"/>
      <w:b w:val="1"/>
      <w:sz w:val="22"/>
    </w:rPr>
  </w:style>
  <w:style w:styleId="Style_5_ch" w:type="character">
    <w:name w:val="ConsPlusTitle"/>
    <w:link w:val="Style_5"/>
    <w:rPr>
      <w:rFonts w:ascii="Times New Roman" w:hAnsi="Times New Roman"/>
      <w:b w:val="1"/>
      <w:sz w:val="22"/>
    </w:rPr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Body Text"/>
    <w:basedOn w:val="Style_7"/>
    <w:link w:val="Style_12_ch"/>
    <w:pPr>
      <w:spacing w:after="140" w:line="288" w:lineRule="auto"/>
      <w:ind/>
    </w:pPr>
  </w:style>
  <w:style w:styleId="Style_12_ch" w:type="character">
    <w:name w:val="Body Text"/>
    <w:basedOn w:val="Style_7_ch"/>
    <w:link w:val="Style_12"/>
  </w:style>
  <w:style w:styleId="Style_13" w:type="paragraph">
    <w:name w:val="Верхний колонтитул Знак"/>
    <w:basedOn w:val="Style_14"/>
    <w:link w:val="Style_13_ch"/>
    <w:rPr>
      <w:rFonts w:ascii="Times New Roman" w:hAnsi="Times New Roman"/>
      <w:sz w:val="24"/>
    </w:rPr>
  </w:style>
  <w:style w:styleId="Style_13_ch" w:type="character">
    <w:name w:val="Верхний колонтитул Знак"/>
    <w:basedOn w:val="Style_14_ch"/>
    <w:link w:val="Style_13"/>
    <w:rPr>
      <w:rFonts w:ascii="Times New Roman" w:hAnsi="Times New Roman"/>
      <w:sz w:val="24"/>
    </w:rPr>
  </w:style>
  <w:style w:styleId="Style_15" w:type="paragraph">
    <w:name w:val="heading 3"/>
    <w:next w:val="Style_7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caption"/>
    <w:basedOn w:val="Style_7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7_ch"/>
    <w:link w:val="Style_16"/>
    <w:rPr>
      <w:i w:val="1"/>
      <w:sz w:val="24"/>
    </w:rPr>
  </w:style>
  <w:style w:styleId="Style_17" w:type="paragraph">
    <w:name w:val="Нижний колонтитул Знак"/>
    <w:basedOn w:val="Style_14"/>
    <w:link w:val="Style_17_ch"/>
    <w:rPr>
      <w:rFonts w:ascii="Times New Roman" w:hAnsi="Times New Roman"/>
      <w:sz w:val="24"/>
    </w:rPr>
  </w:style>
  <w:style w:styleId="Style_17_ch" w:type="character">
    <w:name w:val="Нижний колонтитул Знак"/>
    <w:basedOn w:val="Style_14_ch"/>
    <w:link w:val="Style_17"/>
    <w:rPr>
      <w:rFonts w:ascii="Times New Roman" w:hAnsi="Times New Roman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8" w:type="paragraph">
    <w:name w:val="Обычный2"/>
    <w:link w:val="Style_18_ch"/>
    <w:pPr>
      <w:widowControl w:val="0"/>
      <w:spacing w:line="480" w:lineRule="auto"/>
      <w:ind w:firstLine="700" w:left="0"/>
      <w:jc w:val="both"/>
    </w:pPr>
    <w:rPr>
      <w:rFonts w:ascii="Times New Roman" w:hAnsi="Times New Roman"/>
      <w:color w:val="00000A"/>
      <w:sz w:val="24"/>
    </w:rPr>
  </w:style>
  <w:style w:styleId="Style_18_ch" w:type="character">
    <w:name w:val="Обычный2"/>
    <w:link w:val="Style_18"/>
    <w:rPr>
      <w:rFonts w:ascii="Times New Roman" w:hAnsi="Times New Roman"/>
      <w:color w:val="00000A"/>
      <w:sz w:val="24"/>
    </w:rPr>
  </w:style>
  <w:style w:styleId="Style_2" w:type="paragraph">
    <w:name w:val="Основной текст 21"/>
    <w:basedOn w:val="Style_7"/>
    <w:link w:val="Style_2_ch"/>
    <w:pPr>
      <w:ind/>
      <w:jc w:val="both"/>
    </w:pPr>
    <w:rPr>
      <w:sz w:val="28"/>
    </w:rPr>
  </w:style>
  <w:style w:styleId="Style_2_ch" w:type="character">
    <w:name w:val="Основной текст 21"/>
    <w:basedOn w:val="Style_7_ch"/>
    <w:link w:val="Style_2"/>
    <w:rPr>
      <w:sz w:val="28"/>
    </w:rPr>
  </w:style>
  <w:style w:styleId="Style_19" w:type="paragraph">
    <w:name w:val="toc 3"/>
    <w:next w:val="Style_7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  <w:color w:val="00000A"/>
    </w:rPr>
  </w:style>
  <w:style w:styleId="Style_20_ch" w:type="character">
    <w:name w:val="ConsPlusNonformat"/>
    <w:link w:val="Style_20"/>
    <w:rPr>
      <w:rFonts w:ascii="Courier New" w:hAnsi="Courier New"/>
      <w:color w:val="00000A"/>
    </w:rPr>
  </w:style>
  <w:style w:styleId="Style_21" w:type="paragraph">
    <w:name w:val="Текст выноски Знак"/>
    <w:basedOn w:val="Style_14"/>
    <w:link w:val="Style_21_ch"/>
    <w:rPr>
      <w:rFonts w:ascii="Tahoma" w:hAnsi="Tahoma"/>
      <w:sz w:val="16"/>
    </w:rPr>
  </w:style>
  <w:style w:styleId="Style_21_ch" w:type="character">
    <w:name w:val="Текст выноски Знак"/>
    <w:basedOn w:val="Style_14_ch"/>
    <w:link w:val="Style_21"/>
    <w:rPr>
      <w:rFonts w:ascii="Tahoma" w:hAnsi="Tahoma"/>
      <w:sz w:val="16"/>
    </w:rPr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next w:val="Style_7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ListLabel 1"/>
    <w:link w:val="Style_24_ch"/>
    <w:rPr>
      <w:b w:val="0"/>
      <w:sz w:val="24"/>
    </w:rPr>
  </w:style>
  <w:style w:styleId="Style_24_ch" w:type="character">
    <w:name w:val="ListLabel 1"/>
    <w:link w:val="Style_24"/>
    <w:rPr>
      <w:b w:val="0"/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header"/>
    <w:basedOn w:val="Style_7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7_ch" w:type="character">
    <w:name w:val="header"/>
    <w:basedOn w:val="Style_7_ch"/>
    <w:link w:val="Style_27"/>
    <w:rPr>
      <w:rFonts w:ascii="Times New Roman" w:hAnsi="Times New Roman"/>
      <w:sz w:val="24"/>
    </w:rPr>
  </w:style>
  <w:style w:styleId="Style_28" w:type="paragraph">
    <w:name w:val="toc 1"/>
    <w:next w:val="Style_7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footer"/>
    <w:basedOn w:val="Style_7"/>
    <w:link w:val="Style_2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9_ch" w:type="character">
    <w:name w:val="footer"/>
    <w:basedOn w:val="Style_7_ch"/>
    <w:link w:val="Style_29"/>
    <w:rPr>
      <w:rFonts w:ascii="Times New Roman" w:hAnsi="Times New Roman"/>
      <w:sz w:val="24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7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s_1"/>
    <w:basedOn w:val="Style_7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s_1"/>
    <w:basedOn w:val="Style_7_ch"/>
    <w:link w:val="Style_32"/>
    <w:rPr>
      <w:rFonts w:ascii="Times New Roman" w:hAnsi="Times New Roman"/>
      <w:sz w:val="24"/>
    </w:rPr>
  </w:style>
  <w:style w:styleId="Style_33" w:type="paragraph">
    <w:name w:val="List"/>
    <w:basedOn w:val="Style_12"/>
    <w:link w:val="Style_33_ch"/>
  </w:style>
  <w:style w:styleId="Style_33_ch" w:type="character">
    <w:name w:val="List"/>
    <w:basedOn w:val="Style_12_ch"/>
    <w:link w:val="Style_33"/>
  </w:style>
  <w:style w:styleId="Style_34" w:type="paragraph">
    <w:name w:val="Balloon Text"/>
    <w:basedOn w:val="Style_7"/>
    <w:link w:val="Style_34_ch"/>
    <w:pPr>
      <w:spacing w:after="0" w:line="240" w:lineRule="auto"/>
      <w:ind/>
    </w:pPr>
    <w:rPr>
      <w:rFonts w:ascii="Tahoma" w:hAnsi="Tahoma"/>
      <w:sz w:val="16"/>
    </w:rPr>
  </w:style>
  <w:style w:styleId="Style_34_ch" w:type="character">
    <w:name w:val="Balloon Text"/>
    <w:basedOn w:val="Style_7_ch"/>
    <w:link w:val="Style_34"/>
    <w:rPr>
      <w:rFonts w:ascii="Tahoma" w:hAnsi="Tahoma"/>
      <w:sz w:val="16"/>
    </w:rPr>
  </w:style>
  <w:style w:styleId="Style_35" w:type="paragraph">
    <w:name w:val="toc 8"/>
    <w:next w:val="Style_7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color w:val="00000A"/>
    </w:rPr>
  </w:style>
  <w:style w:styleId="Style_4_ch" w:type="character">
    <w:name w:val="ConsPlusNormal"/>
    <w:link w:val="Style_4"/>
    <w:rPr>
      <w:rFonts w:ascii="Arial" w:hAnsi="Arial"/>
      <w:color w:val="00000A"/>
    </w:rPr>
  </w:style>
  <w:style w:styleId="Style_36" w:type="paragraph">
    <w:name w:val="Содержимое таблицы"/>
    <w:basedOn w:val="Style_7"/>
    <w:link w:val="Style_36_ch"/>
  </w:style>
  <w:style w:styleId="Style_36_ch" w:type="character">
    <w:name w:val="Содержимое таблицы"/>
    <w:basedOn w:val="Style_7_ch"/>
    <w:link w:val="Style_36"/>
  </w:style>
  <w:style w:styleId="Style_37" w:type="paragraph">
    <w:name w:val="toc 5"/>
    <w:next w:val="Style_7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38" w:type="paragraph">
    <w:name w:val="Интернет-ссылка"/>
    <w:link w:val="Style_38_ch"/>
    <w:rPr>
      <w:color w:val="000080"/>
      <w:u w:val="single"/>
    </w:rPr>
  </w:style>
  <w:style w:styleId="Style_38_ch" w:type="character">
    <w:name w:val="Интернет-ссылка"/>
    <w:link w:val="Style_38"/>
    <w:rPr>
      <w:color w:val="000080"/>
      <w:u w:val="single"/>
    </w:rPr>
  </w:style>
  <w:style w:styleId="Style_39" w:type="paragraph">
    <w:name w:val="Subtitle"/>
    <w:next w:val="Style_7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7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1" w:type="paragraph">
    <w:name w:val="Title"/>
    <w:basedOn w:val="Style_7"/>
    <w:next w:val="Style_12"/>
    <w:link w:val="Style_1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Title"/>
    <w:basedOn w:val="Style_7_ch"/>
    <w:link w:val="Style_1"/>
    <w:rPr>
      <w:rFonts w:ascii="Liberation Sans" w:hAnsi="Liberation Sans"/>
      <w:sz w:val="28"/>
    </w:rPr>
  </w:style>
  <w:style w:styleId="Style_41" w:type="paragraph">
    <w:name w:val="heading 4"/>
    <w:next w:val="Style_7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heading 2"/>
    <w:basedOn w:val="Style_7"/>
    <w:link w:val="Style_42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b w:val="1"/>
      <w:sz w:val="28"/>
    </w:rPr>
  </w:style>
  <w:style w:styleId="Style_42_ch" w:type="character">
    <w:name w:val="heading 2"/>
    <w:basedOn w:val="Style_7_ch"/>
    <w:link w:val="Style_42"/>
    <w:rPr>
      <w:rFonts w:ascii="Times New Roman" w:hAnsi="Times New Roman"/>
      <w:b w:val="1"/>
      <w:sz w:val="28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43" w:type="paragraph">
    <w:name w:val="index heading"/>
    <w:basedOn w:val="Style_7"/>
    <w:link w:val="Style_43_ch"/>
  </w:style>
  <w:style w:styleId="Style_43_ch" w:type="character">
    <w:name w:val="index heading"/>
    <w:basedOn w:val="Style_7_ch"/>
    <w:link w:val="Style_43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