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cstheme="minorHAnsi" w:ascii="Times New Roman" w:hAnsi="Times New Roman"/>
          <w:color w:val="010101"/>
          <w:lang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center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АДМИНИСТРАЦИЯ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САНДОВСКОГО МУНИЦИПАЛЬНОГО ОКРУГА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kern w:val="0"/>
          <w:sz w:val="26"/>
          <w:szCs w:val="26"/>
        </w:rPr>
      </w:pPr>
      <w:r>
        <w:rPr>
          <w:rFonts w:ascii="Times New Roman" w:hAnsi="Times New Roman"/>
          <w:color w:val="000000"/>
          <w:spacing w:val="0"/>
          <w:kern w:val="0"/>
          <w:sz w:val="26"/>
          <w:szCs w:val="26"/>
        </w:rPr>
        <w:t>Тверская  область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ПОСТАНОВЛЕНИЕ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</w:r>
    </w:p>
    <w:p>
      <w:pPr>
        <w:pStyle w:val="Style15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  <w:lang w:val="en-US"/>
        </w:rPr>
        <w:t>___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>.202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  <w:lang w:val="en-US"/>
        </w:rPr>
        <w:t>2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 xml:space="preserve">                                                 пгт Сандово                                                    №</w:t>
      </w:r>
    </w:p>
    <w:p>
      <w:pPr>
        <w:pStyle w:val="Style16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Об утверждении Программы профилактики рисков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сфере муниципального земельного контроля </w:t>
      </w:r>
      <w:r>
        <w:rPr>
          <w:rFonts w:ascii="Times New Roman" w:hAnsi="Times New Roman"/>
          <w:b w:val="false"/>
          <w:bCs w:val="false"/>
          <w:spacing w:val="2"/>
          <w:sz w:val="26"/>
          <w:szCs w:val="26"/>
        </w:rPr>
        <w:t xml:space="preserve">на территории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Сандовского муниципального округа на 202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год</w:t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соответствии со статьей 44 Федерального закона от 31 июля 2020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остановлением</w:t>
      </w:r>
      <w:r>
        <w:rPr>
          <w:rFonts w:ascii="Times New Roman" w:hAnsi="Times New Roman"/>
          <w:sz w:val="26"/>
          <w:szCs w:val="26"/>
          <w:shd w:fill="FFFFFF" w:val="clear"/>
        </w:rPr>
        <w:t>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Правительства</w:t>
      </w:r>
      <w:r>
        <w:rPr>
          <w:rFonts w:ascii="Times New Roman" w:hAnsi="Times New Roman"/>
          <w:sz w:val="26"/>
          <w:szCs w:val="26"/>
          <w:shd w:fill="FFFFFF" w:val="clear"/>
        </w:rPr>
        <w:t> РФ от 25 июня 2021 N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 xml:space="preserve">990 </w:t>
      </w:r>
      <w:r>
        <w:rPr>
          <w:rFonts w:ascii="Times New Roman" w:hAnsi="Times New Roman"/>
          <w:sz w:val="26"/>
          <w:szCs w:val="26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sz w:val="26"/>
          <w:szCs w:val="26"/>
        </w:rPr>
        <w:t xml:space="preserve">, Уставом Сандовского муниципального округа Тверской области, решением Думы Сандовского муниципального округа от 21.09.2021 №127  «Об утверждении  Положения </w:t>
      </w:r>
      <w:r>
        <w:rPr>
          <w:rFonts w:ascii="Times New Roman" w:hAnsi="Times New Roman"/>
          <w:sz w:val="26"/>
        </w:rPr>
        <w:t xml:space="preserve">о муниципальном земельном контроле </w:t>
      </w:r>
      <w:r>
        <w:rPr>
          <w:rFonts w:ascii="Times New Roman" w:hAnsi="Times New Roman"/>
          <w:sz w:val="26"/>
          <w:szCs w:val="26"/>
        </w:rPr>
        <w:t>на территории Сандовского муниципального округа» Администрация Сандовского муниципального округа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spacing w:val="2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Сандовского муниципального округа на 202</w:t>
      </w:r>
      <w:r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Постановление Администрации Сандовского муниципального округа от 14.12.2021 №356 «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Об утверждении Программы профилактики рисков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b w:val="false"/>
          <w:bCs w:val="false"/>
          <w:spacing w:val="2"/>
          <w:sz w:val="26"/>
          <w:szCs w:val="26"/>
        </w:rPr>
        <w:t xml:space="preserve">на территории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Сандовского муниципального округа на 202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год» признать утратившим силу.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3. </w:t>
      </w:r>
      <w:r>
        <w:rPr>
          <w:rFonts w:ascii="Times New Roman" w:hAnsi="Times New Roman"/>
          <w:sz w:val="26"/>
          <w:szCs w:val="26"/>
        </w:rPr>
        <w:t>Опубликовать настоящее постановление в периодическом печатном издании «Сандовские вести» и на официальном сайте Сандовского муниципального округа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Сандовского  муниципального округа Фумина Е.А.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 О.Н.Грязнов</w:t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Сандовского муниципального округа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 xml:space="preserve"> _______ </w:t>
      </w:r>
      <w:r>
        <w:rPr>
          <w:rFonts w:ascii="Times New Roman" w:hAnsi="Times New Roman"/>
        </w:rPr>
        <w:t xml:space="preserve">г.  № </w:t>
      </w:r>
      <w:r>
        <w:rPr>
          <w:rFonts w:ascii="Times New Roman" w:hAnsi="Times New Roman"/>
          <w:lang w:val="en-US"/>
        </w:rPr>
        <w:t>____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5940" w:righ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Сандовского муниципального округа на 202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val="en-US" w:bidi="ar-SA"/>
        </w:rPr>
        <w:t>3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год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1. Общие положения </w:t>
      </w:r>
    </w:p>
    <w:p>
      <w:pPr>
        <w:pStyle w:val="Normal"/>
        <w:widowControl/>
        <w:shd w:val="clear" w:color="auto" w:fill="FFFFFF"/>
        <w:spacing w:beforeAutospacing="1" w:afterAutospacing="1"/>
        <w:ind w:firstLine="708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Сандовского муниципального округа.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2. Аналитическая часть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2.1. Вид осуществляемого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на территории Сандовского муниципального округа осуществляется отделом земельных и имущественных отношений Администрации Сандовского муниципального округа (далее – Отдел).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2.2. Обзор по виду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2.3. Муниципальный земельный контроль осуществляется посредством: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профилактических мероприятий;</w:t>
      </w:r>
    </w:p>
    <w:p>
      <w:pPr>
        <w:pStyle w:val="Normal"/>
        <w:widowControl/>
        <w:shd w:val="clear" w:color="auto" w:fill="FFFFFF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z w:val="24"/>
          <w:lang w:bidi="ar-SA"/>
        </w:rPr>
        <w:t>-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2.4. Контролируемые лица: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земельному контролю: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-Земельный Кодекс Российской Федерации.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2.6. Данные о проведенных мероприятиях.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cs="Times New Roman" w:ascii="Times New Roman" w:hAnsi="Times New Roman" w:asciiTheme="minorHAnsi" w:cstheme="minorHAnsi" w:hAnsiTheme="minorHAnsi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В 202</w:t>
      </w:r>
      <w:r>
        <w:rPr>
          <w:rFonts w:cs="Times New Roman" w:ascii="Times New Roman" w:hAnsi="Times New Roman" w:asciiTheme="minorHAnsi" w:cstheme="minorHAnsi" w:hAnsiTheme="minorHAnsi"/>
          <w:shd w:fill="auto" w:val="clear"/>
          <w:lang w:val="en-US"/>
        </w:rPr>
        <w:t>2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году плановые и внеплановые</w:t>
      </w:r>
      <w:r>
        <w:rPr>
          <w:rFonts w:cs="Times New Roman" w:ascii="Times New Roman" w:hAnsi="Times New Roman" w:asciiTheme="minorHAnsi" w:cstheme="minorHAnsi" w:hAnsiTheme="minorHAnsi"/>
          <w:color w:val="C9211E"/>
          <w:shd w:fill="auto" w:val="clear"/>
        </w:rPr>
        <w:t xml:space="preserve"> 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проверки соблюдения земельного законодательства, в соответствии с постановлением Правительства РФ от 10.03.20022 № 336 «Об особенностях организации и осуществления государственного контроля (надзора), муниципального контроля»,</w:t>
      </w:r>
      <w:r>
        <w:rPr>
          <w:rFonts w:cs="Times New Roman" w:ascii="Times New Roman" w:hAnsi="Times New Roman" w:asciiTheme="minorHAnsi" w:cstheme="minorHAnsi" w:hAnsiTheme="minorHAnsi"/>
          <w:shd w:fill="auto" w:val="clear"/>
          <w:lang w:val="ru-RU"/>
        </w:rPr>
        <w:t xml:space="preserve"> не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проводились. 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hd w:fill="auto" w:val="clear"/>
          <w:lang w:bidi="ar-SA"/>
        </w:rPr>
        <w:t>Проведение профилактических мероприятий: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предостережения о недопустимости нарушения обязательных требований-3.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2.7. Анализ и оценка рисков причинения вреда охраняемым законом ценностям.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Мониторинг состояния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Проведение профилактических мероприятий, направленных на соблюдение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3. Цели и задачи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3.1. Цели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3.2. Задачи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прозрачности осуществляемой Отделом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4. План мероприятий по профилактике нарушений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2023 год (приложение).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5. Показатели результативности и эффективности Программы.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Отчетные показатели Программы за 2022 год: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color w:val="000000"/>
        </w:rPr>
      </w:pPr>
      <w:r>
        <w:rPr>
          <w:rFonts w:eastAsia="Times New Roman" w:cs="Times New Roman" w:ascii="Times New Roman" w:hAnsi="Times New Roman" w:cstheme="minorHAnsi"/>
          <w:color w:val="000000"/>
          <w:shd w:fill="auto" w:val="clear"/>
          <w:lang w:bidi="ar-SA"/>
        </w:rPr>
        <w:t>-  профилактических мероприятий - 3.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Экономический эффект от реализованных мероприятий: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00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повышение уровня доверия подконтрольных субъектов к Управлению.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6. Порядок управления Программой.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земельного контроля на территории Сандовского муниципального округа</w:t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4314"/>
        <w:gridCol w:w="2897"/>
        <w:gridCol w:w="1802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Должностные лица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Функции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Контакты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en-US" w:bidi="ar-SA"/>
              </w:rPr>
              <w:t xml:space="preserve"> з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ru-RU" w:bidi="ar-SA"/>
              </w:rPr>
              <w:t xml:space="preserve">емельных и имущественных отношений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администрации Сандовского муниципального округа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Организация и проведение мероприятий по реализации программы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8 (48272) 2-10-82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kui@sandovoregion.ru</w:t>
            </w:r>
          </w:p>
        </w:tc>
      </w:tr>
    </w:tbl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Сандовского муниципального округа на 2023 год.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Результаты профилактической работы Отдела включаются в Доклад об осуществлении муниципального земельного контроля на территории Сандовского муниципального округа на 2022 год.</w:t>
      </w:r>
    </w:p>
    <w:p>
      <w:pPr>
        <w:pStyle w:val="Normal"/>
        <w:widowControl/>
        <w:shd w:val="clear" w:color="auto" w:fill="FFFFFF"/>
        <w:spacing w:beforeAutospacing="1" w:afterAutospacing="1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 w:asciiTheme="minorHAnsi" w:cstheme="minorHAnsi" w:hAnsiTheme="minorHAnsi"/>
          <w:b w:val="false"/>
          <w:bCs w:val="false"/>
          <w:i w:val="false"/>
          <w:iCs w:val="false"/>
          <w:color w:val="010101"/>
          <w:lang w:bidi="ar-SA"/>
        </w:rPr>
        <w:t>Приложение к Программе профилактики рисков</w:t>
        <w:br/>
        <w:t>причинения вреда (ущерба)</w:t>
        <w:br/>
        <w:t>охраняемым законом ценностям на 2023 год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План мероприятий по профилактике нарушений земельного законодательства на территории Сандовского муниципального округа на 2023 год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cstheme="minorHAnsi" w:ascii="Times New Roman" w:hAnsi="Times New Roman"/>
          <w:color w:val="010101"/>
          <w:lang w:bidi="ar-SA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2086"/>
        <w:gridCol w:w="3765"/>
        <w:gridCol w:w="1837"/>
        <w:gridCol w:w="1326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Наименование мероприятия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Сведения о мероприятии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Ответственный исполнитель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Срок исполнения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 осуществляется посредством размещения соответствующих сведений на официальном сайте Сандовского муниципального округа в 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размещает и поддерживает в актуальном состоянии на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FF0000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официальном сайте Сандовского муниципального округа в информационно-телекоммуникационной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010101"/>
                <w:lang w:bidi="ar-SA"/>
              </w:rPr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Обобщение правоприменительной практики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Доклад о правоприменительной практике при осуществлении муниципального контроля готовится и размещается на официальном сайте Сандовского муниципального округа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 раз в год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Объявление предостережения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sz w:val="24"/>
                <w:lang w:bidi="ar-SA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Контролируемое лицо вправе после получения предостережения о недопустимости нарушения 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4.</w:t>
            </w:r>
          </w:p>
        </w:tc>
        <w:tc>
          <w:tcPr>
            <w:tcW w:w="20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</w:t>
            </w:r>
          </w:p>
        </w:tc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порядок обжалования действий (бездействия) муниципальных служащих.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Сандовского муниципального округа в информационно-телекоммуникационной сети «Интернет» на странице Контрольно-надзорная деятельность письменного разъяснения.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w="11906" w:h="16838"/>
      <w:pgMar w:left="124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5e3"/>
    <w:pPr>
      <w:widowControl w:val="false"/>
      <w:suppressAutoHyphens w:val="true"/>
      <w:bidi w:val="0"/>
      <w:spacing w:before="0" w:after="0"/>
      <w:jc w:val="center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2">
    <w:name w:val="Heading 2"/>
    <w:basedOn w:val="Normal"/>
    <w:uiPriority w:val="9"/>
    <w:qFormat/>
    <w:rsid w:val="002f52bc"/>
    <w:pPr>
      <w:widowControl/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5e3"/>
    <w:rPr>
      <w:b/>
      <w:bCs/>
    </w:rPr>
  </w:style>
  <w:style w:type="character" w:styleId="21" w:customStyle="1">
    <w:name w:val="Заголовок 2 Знак"/>
    <w:basedOn w:val="DefaultParagraphFont"/>
    <w:uiPriority w:val="9"/>
    <w:qFormat/>
    <w:rsid w:val="002f52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f52bc"/>
    <w:rPr>
      <w:color w:val="0000FF"/>
      <w:u w:val="single"/>
    </w:rPr>
  </w:style>
  <w:style w:type="character" w:styleId="Style14">
    <w:name w:val="Выделение"/>
    <w:qFormat/>
    <w:rPr>
      <w:i/>
      <w:iCs/>
    </w:rPr>
  </w:style>
  <w:style w:type="character" w:styleId="WW8Num3z0">
    <w:name w:val="WW8Num3z0"/>
    <w:qFormat/>
    <w:rPr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f52bc"/>
    <w:pPr>
      <w:widowControl/>
      <w:spacing w:beforeAutospacing="1" w:afterAutospacing="1"/>
      <w:jc w:val="left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LibreOffice/7.1.7.2$Windows_X86_64 LibreOffice_project/c6a4e3954236145e2acb0b65f68614365aeee33f</Application>
  <AppVersion>15.0000</AppVersion>
  <Pages>7</Pages>
  <Words>1374</Words>
  <Characters>10982</Characters>
  <CharactersWithSpaces>12427</CharactersWithSpaces>
  <Paragraphs>113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2021-10-18T20:49:00Z</dcterms:created>
  <dc:creator>настя</dc:creator>
  <dc:description/>
  <dc:language>ru-RU</dc:language>
  <cp:lastModifiedBy/>
  <cp:lastPrinted>2022-11-08T09:36:32Z</cp:lastPrinted>
  <dcterms:modified xsi:type="dcterms:W3CDTF">2022-11-14T16:47:51Z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